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EE17F" w14:textId="77777777" w:rsidR="0091670C" w:rsidRPr="0059765D" w:rsidRDefault="0091670C" w:rsidP="00DE3CD7">
      <w:pPr>
        <w:pStyle w:val="Heading1"/>
        <w:spacing w:line="276" w:lineRule="auto"/>
        <w:rPr>
          <w:rFonts w:asciiTheme="minorHAnsi" w:eastAsia="Times New Roman" w:hAnsiTheme="minorHAnsi" w:cstheme="minorHAnsi"/>
          <w:color w:val="2E74B5" w:themeColor="accent1" w:themeShade="BF"/>
          <w:lang w:val="ro-RO"/>
        </w:rPr>
      </w:pPr>
      <w:bookmarkStart w:id="0" w:name="_Toc93997689"/>
      <w:bookmarkStart w:id="1" w:name="_Toc118708652"/>
      <w:r w:rsidRPr="0059765D">
        <w:rPr>
          <w:rFonts w:asciiTheme="minorHAnsi" w:eastAsia="Times New Roman" w:hAnsiTheme="minorHAnsi" w:cstheme="minorHAnsi"/>
          <w:color w:val="2E74B5" w:themeColor="accent1" w:themeShade="BF"/>
          <w:lang w:val="ro-RO"/>
        </w:rPr>
        <w:t xml:space="preserve">Anexa IV. 3 </w:t>
      </w:r>
    </w:p>
    <w:bookmarkEnd w:id="0"/>
    <w:bookmarkEnd w:id="1"/>
    <w:p w14:paraId="5BEDA7D1" w14:textId="77777777" w:rsidR="0091670C" w:rsidRPr="0059765D" w:rsidRDefault="0091670C" w:rsidP="005D69ED">
      <w:pPr>
        <w:spacing w:line="276" w:lineRule="auto"/>
        <w:jc w:val="center"/>
        <w:rPr>
          <w:rFonts w:asciiTheme="minorHAnsi" w:eastAsia="Times New Roman" w:hAnsiTheme="minorHAnsi" w:cstheme="minorHAnsi"/>
          <w:b/>
          <w:bCs/>
          <w:color w:val="2E74B5" w:themeColor="accent1" w:themeShade="BF"/>
          <w:sz w:val="28"/>
          <w:szCs w:val="28"/>
          <w:lang w:val="ro-RO"/>
        </w:rPr>
      </w:pPr>
      <w:r w:rsidRPr="0059765D">
        <w:rPr>
          <w:rFonts w:asciiTheme="minorHAnsi" w:eastAsia="Times New Roman" w:hAnsiTheme="minorHAnsi" w:cstheme="minorHAnsi"/>
          <w:b/>
          <w:bCs/>
          <w:color w:val="2E74B5" w:themeColor="accent1" w:themeShade="BF"/>
          <w:sz w:val="28"/>
          <w:szCs w:val="28"/>
          <w:lang w:val="ro-RO"/>
        </w:rPr>
        <w:t>Lista categoriilor de cheltuieli eligibile si neeligibile aplicabile în cadrul prezentului apel de proiecte</w:t>
      </w:r>
    </w:p>
    <w:p w14:paraId="474BDF3B" w14:textId="77777777" w:rsidR="0091670C" w:rsidRPr="005D69ED" w:rsidRDefault="0091670C" w:rsidP="0091670C">
      <w:pPr>
        <w:spacing w:line="276" w:lineRule="auto"/>
        <w:jc w:val="center"/>
        <w:rPr>
          <w:rFonts w:asciiTheme="minorHAnsi" w:eastAsia="Times New Roman" w:hAnsiTheme="minorHAnsi" w:cstheme="minorHAnsi"/>
          <w:b/>
          <w:bCs/>
          <w:szCs w:val="24"/>
          <w:lang w:val="ro-RO"/>
        </w:rPr>
      </w:pPr>
    </w:p>
    <w:p w14:paraId="44BFC043" w14:textId="77777777" w:rsidR="00B33DAD" w:rsidRPr="005D69ED" w:rsidRDefault="003500BA" w:rsidP="0059765D">
      <w:pPr>
        <w:spacing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 xml:space="preserve">Cheltuielile eligibile în cadrul </w:t>
      </w:r>
      <w:r w:rsidR="00385C69" w:rsidRPr="005D69ED">
        <w:rPr>
          <w:rFonts w:asciiTheme="minorHAnsi" w:eastAsia="Times New Roman" w:hAnsiTheme="minorHAnsi" w:cstheme="minorHAnsi"/>
          <w:szCs w:val="24"/>
          <w:lang w:val="ro-RO"/>
        </w:rPr>
        <w:t>prezentului apel de proiecte sunt:</w:t>
      </w:r>
      <w:r w:rsidRPr="005D69ED">
        <w:rPr>
          <w:rFonts w:asciiTheme="minorHAnsi" w:eastAsia="Times New Roman" w:hAnsiTheme="minorHAnsi" w:cstheme="minorHAnsi"/>
          <w:szCs w:val="24"/>
          <w:lang w:val="ro-RO"/>
        </w:rPr>
        <w:t xml:space="preserve"> </w:t>
      </w:r>
    </w:p>
    <w:p w14:paraId="0B3F9E6A" w14:textId="77777777" w:rsidR="002C23F9" w:rsidRPr="005D69ED" w:rsidRDefault="002C23F9" w:rsidP="0059765D">
      <w:pPr>
        <w:widowControl/>
        <w:numPr>
          <w:ilvl w:val="0"/>
          <w:numId w:val="12"/>
        </w:numPr>
        <w:spacing w:after="160" w:line="276" w:lineRule="auto"/>
        <w:contextualSpacing/>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 xml:space="preserve">Cheltuieli pentru activitățile </w:t>
      </w:r>
      <w:r w:rsidR="00414A85" w:rsidRPr="005D69ED">
        <w:rPr>
          <w:rFonts w:asciiTheme="minorHAnsi" w:eastAsia="Times New Roman" w:hAnsiTheme="minorHAnsi" w:cstheme="minorHAnsi"/>
          <w:szCs w:val="24"/>
          <w:lang w:val="ro-RO"/>
        </w:rPr>
        <w:t>aferente Componentei 1</w:t>
      </w:r>
      <w:r w:rsidRPr="005D69ED">
        <w:rPr>
          <w:rFonts w:asciiTheme="minorHAnsi" w:eastAsia="Times New Roman" w:hAnsiTheme="minorHAnsi" w:cstheme="minorHAnsi"/>
          <w:szCs w:val="24"/>
          <w:lang w:val="ro-RO"/>
        </w:rPr>
        <w:t xml:space="preserve"> (cercetare industrială/dezvoltare experimentală):</w:t>
      </w:r>
      <w:r w:rsidRPr="005D69ED">
        <w:rPr>
          <w:rFonts w:asciiTheme="minorHAnsi" w:hAnsiTheme="minorHAnsi" w:cstheme="minorHAnsi"/>
          <w:szCs w:val="24"/>
        </w:rPr>
        <w:t xml:space="preserve"> </w:t>
      </w:r>
      <w:r w:rsidRPr="005D69ED">
        <w:rPr>
          <w:rFonts w:asciiTheme="minorHAnsi" w:eastAsia="Times New Roman" w:hAnsiTheme="minorHAnsi" w:cstheme="minorHAnsi"/>
          <w:szCs w:val="24"/>
          <w:lang w:val="ro-RO"/>
        </w:rPr>
        <w:t>- minim 40% din cheltuielile totale eligibile</w:t>
      </w:r>
      <w:r w:rsidR="00B833AA" w:rsidRPr="005D69ED">
        <w:rPr>
          <w:rFonts w:asciiTheme="minorHAnsi" w:eastAsia="Times New Roman" w:hAnsiTheme="minorHAnsi" w:cstheme="minorHAnsi"/>
          <w:szCs w:val="24"/>
          <w:lang w:val="ro-RO"/>
        </w:rPr>
        <w:t xml:space="preserve"> ale proiectului (inclusiv introducerea în producție sau prestarea în piață) după cum urmează:</w:t>
      </w:r>
    </w:p>
    <w:p w14:paraId="22ACF458" w14:textId="7457784E" w:rsidR="002C23F9" w:rsidRPr="005D69ED" w:rsidRDefault="002C23F9" w:rsidP="0059765D">
      <w:pPr>
        <w:widowControl/>
        <w:numPr>
          <w:ilvl w:val="1"/>
          <w:numId w:val="12"/>
        </w:numPr>
        <w:spacing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Cheltuieli de personal</w:t>
      </w:r>
      <w:r w:rsidR="00807F3B" w:rsidRPr="005D69ED">
        <w:rPr>
          <w:rFonts w:asciiTheme="minorHAnsi" w:eastAsia="Times New Roman" w:hAnsiTheme="minorHAnsi" w:cstheme="minorHAnsi"/>
          <w:szCs w:val="24"/>
          <w:lang w:val="ro-RO"/>
        </w:rPr>
        <w:t>(angajat în cadrul entității beneficiare)</w:t>
      </w:r>
      <w:r w:rsidRPr="005D69ED">
        <w:rPr>
          <w:rFonts w:asciiTheme="minorHAnsi" w:eastAsia="Times New Roman" w:hAnsiTheme="minorHAnsi" w:cstheme="minorHAnsi"/>
          <w:szCs w:val="24"/>
          <w:lang w:val="ro-RO"/>
        </w:rPr>
        <w:t xml:space="preserve"> (cercetători, tehnicieni şi personal auxiliar în măsura în care aceștia sunt angajați în activitățile de cercetare industrială/ dezvoltare experimentală ale proiectului):</w:t>
      </w:r>
    </w:p>
    <w:p w14:paraId="60269169" w14:textId="77777777" w:rsidR="002C23F9" w:rsidRPr="005D69ED" w:rsidRDefault="002C23F9" w:rsidP="0059765D">
      <w:pPr>
        <w:pStyle w:val="ListParagraph"/>
        <w:numPr>
          <w:ilvl w:val="1"/>
          <w:numId w:val="12"/>
        </w:numPr>
        <w:spacing w:after="0"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Cheltuieli cu echipamente de cercetare-dezvoltare şi obiecte de inventar, în măsura utilizării acestora în cadrul activităţilor de cercetare industrială/dezvoltare experimentală ale proiectului</w:t>
      </w:r>
      <w:r w:rsidR="00087F4B" w:rsidRPr="005D69ED">
        <w:rPr>
          <w:rFonts w:asciiTheme="minorHAnsi" w:eastAsia="Times New Roman" w:hAnsiTheme="minorHAnsi" w:cstheme="minorHAnsi"/>
          <w:szCs w:val="24"/>
          <w:lang w:val="ro-RO"/>
        </w:rPr>
        <w:t>.</w:t>
      </w:r>
      <w:r w:rsidR="009023F5" w:rsidRPr="005D69ED">
        <w:rPr>
          <w:rFonts w:asciiTheme="minorHAnsi" w:hAnsiTheme="minorHAnsi" w:cstheme="minorHAnsi"/>
        </w:rPr>
        <w:t xml:space="preserve"> </w:t>
      </w:r>
      <w:r w:rsidR="009023F5" w:rsidRPr="005D69ED">
        <w:rPr>
          <w:rFonts w:asciiTheme="minorHAnsi" w:eastAsia="Times New Roman" w:hAnsiTheme="minorHAnsi" w:cstheme="minorHAnsi"/>
          <w:szCs w:val="24"/>
          <w:lang w:val="ro-RO"/>
        </w:rPr>
        <w:t xml:space="preserve">Echipamentele achiziționate pentru activități de cercetare-dezvoltare, dar care sunt necesare și justificate în activitatea de punere în producție, pot fi încadrate </w:t>
      </w:r>
      <w:r w:rsidR="00686D04" w:rsidRPr="005D69ED">
        <w:rPr>
          <w:rFonts w:asciiTheme="minorHAnsi" w:eastAsia="Times New Roman" w:hAnsiTheme="minorHAnsi" w:cstheme="minorHAnsi"/>
          <w:szCs w:val="24"/>
          <w:lang w:val="ro-RO"/>
        </w:rPr>
        <w:t xml:space="preserve">în bugetul proiectului </w:t>
      </w:r>
      <w:r w:rsidR="009023F5" w:rsidRPr="005D69ED">
        <w:rPr>
          <w:rFonts w:asciiTheme="minorHAnsi" w:eastAsia="Times New Roman" w:hAnsiTheme="minorHAnsi" w:cstheme="minorHAnsi"/>
          <w:szCs w:val="24"/>
          <w:lang w:val="ro-RO"/>
        </w:rPr>
        <w:t>în funcție de activitatea unde au durata de utilizare cea mai ridicată</w:t>
      </w:r>
      <w:r w:rsidRPr="005D69ED">
        <w:rPr>
          <w:rFonts w:asciiTheme="minorHAnsi" w:eastAsia="Times New Roman" w:hAnsiTheme="minorHAnsi" w:cstheme="minorHAnsi"/>
          <w:szCs w:val="24"/>
          <w:lang w:val="ro-RO"/>
        </w:rPr>
        <w:t>:</w:t>
      </w:r>
    </w:p>
    <w:p w14:paraId="42A540E3" w14:textId="77777777" w:rsidR="002C23F9" w:rsidRPr="005D69ED" w:rsidRDefault="002C23F9" w:rsidP="0059765D">
      <w:pPr>
        <w:widowControl/>
        <w:numPr>
          <w:ilvl w:val="0"/>
          <w:numId w:val="17"/>
        </w:numPr>
        <w:spacing w:line="276" w:lineRule="auto"/>
        <w:contextualSpacing/>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Echipamente IT şi pentru comunicații</w:t>
      </w:r>
      <w:r w:rsidR="00CB0D71" w:rsidRPr="005D69ED">
        <w:rPr>
          <w:rFonts w:asciiTheme="minorHAnsi" w:eastAsia="Times New Roman" w:hAnsiTheme="minorHAnsi" w:cstheme="minorHAnsi"/>
          <w:szCs w:val="24"/>
          <w:lang w:val="ro-RO"/>
        </w:rPr>
        <w:t xml:space="preserve"> și procesarea informa</w:t>
      </w:r>
      <w:r w:rsidR="00135922" w:rsidRPr="005D69ED">
        <w:rPr>
          <w:rFonts w:asciiTheme="minorHAnsi" w:eastAsia="Times New Roman" w:hAnsiTheme="minorHAnsi" w:cstheme="minorHAnsi"/>
          <w:szCs w:val="24"/>
          <w:lang w:val="ro-RO"/>
        </w:rPr>
        <w:t>ț</w:t>
      </w:r>
      <w:r w:rsidR="00CB0D71" w:rsidRPr="005D69ED">
        <w:rPr>
          <w:rFonts w:asciiTheme="minorHAnsi" w:eastAsia="Times New Roman" w:hAnsiTheme="minorHAnsi" w:cstheme="minorHAnsi"/>
          <w:szCs w:val="24"/>
          <w:lang w:val="ro-RO"/>
        </w:rPr>
        <w:t>iilor</w:t>
      </w:r>
      <w:r w:rsidR="00CB0D71" w:rsidRPr="005D69ED">
        <w:rPr>
          <w:rFonts w:asciiTheme="minorHAnsi" w:eastAsia="Times New Roman" w:hAnsiTheme="minorHAnsi" w:cstheme="minorHAnsi"/>
          <w:szCs w:val="24"/>
        </w:rPr>
        <w:t>;</w:t>
      </w:r>
    </w:p>
    <w:p w14:paraId="58B712D7" w14:textId="77777777" w:rsidR="002C23F9" w:rsidRPr="005D69ED" w:rsidRDefault="002C23F9" w:rsidP="0059765D">
      <w:pPr>
        <w:widowControl/>
        <w:numPr>
          <w:ilvl w:val="0"/>
          <w:numId w:val="17"/>
        </w:numPr>
        <w:spacing w:line="276" w:lineRule="auto"/>
        <w:contextualSpacing/>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 xml:space="preserve">Echipamente şi instrumente </w:t>
      </w:r>
      <w:r w:rsidR="00CB0D71" w:rsidRPr="005D69ED">
        <w:rPr>
          <w:rFonts w:asciiTheme="minorHAnsi" w:eastAsia="Times New Roman" w:hAnsiTheme="minorHAnsi" w:cstheme="minorHAnsi"/>
          <w:szCs w:val="24"/>
          <w:lang w:val="ro-RO"/>
        </w:rPr>
        <w:t xml:space="preserve">specifice </w:t>
      </w:r>
      <w:r w:rsidRPr="005D69ED">
        <w:rPr>
          <w:rFonts w:asciiTheme="minorHAnsi" w:eastAsia="Times New Roman" w:hAnsiTheme="minorHAnsi" w:cstheme="minorHAnsi"/>
          <w:szCs w:val="24"/>
          <w:lang w:val="ro-RO"/>
        </w:rPr>
        <w:t>pentru cercetare</w:t>
      </w:r>
    </w:p>
    <w:p w14:paraId="025A9BCC" w14:textId="77777777" w:rsidR="002C23F9" w:rsidRPr="005D69ED" w:rsidRDefault="002C23F9" w:rsidP="0059765D">
      <w:pPr>
        <w:widowControl/>
        <w:numPr>
          <w:ilvl w:val="1"/>
          <w:numId w:val="12"/>
        </w:numPr>
        <w:spacing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Cheltuieli pentru achiziţia de active fixe necorporale utilizate în cadrul activităţilor de cercetare industrială/dezvoltare experimentală:</w:t>
      </w:r>
    </w:p>
    <w:p w14:paraId="6917A4D8" w14:textId="77777777" w:rsidR="002C23F9" w:rsidRPr="005D69ED" w:rsidRDefault="002C23F9" w:rsidP="0059765D">
      <w:pPr>
        <w:widowControl/>
        <w:numPr>
          <w:ilvl w:val="0"/>
          <w:numId w:val="18"/>
        </w:numPr>
        <w:spacing w:line="276" w:lineRule="auto"/>
        <w:contextualSpacing/>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Brevete</w:t>
      </w:r>
    </w:p>
    <w:p w14:paraId="4B1BD41A" w14:textId="77777777" w:rsidR="002C23F9" w:rsidRPr="005D69ED" w:rsidRDefault="002C23F9" w:rsidP="0059765D">
      <w:pPr>
        <w:widowControl/>
        <w:numPr>
          <w:ilvl w:val="0"/>
          <w:numId w:val="18"/>
        </w:numPr>
        <w:spacing w:line="276" w:lineRule="auto"/>
        <w:contextualSpacing/>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Drepturi de utilizare</w:t>
      </w:r>
    </w:p>
    <w:p w14:paraId="05A4CDEE" w14:textId="77777777" w:rsidR="002C23F9" w:rsidRPr="005D69ED" w:rsidRDefault="002C23F9" w:rsidP="0059765D">
      <w:pPr>
        <w:widowControl/>
        <w:numPr>
          <w:ilvl w:val="1"/>
          <w:numId w:val="12"/>
        </w:numPr>
        <w:spacing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Cheltuieli pentru achiziţia de servicii de cercetare.</w:t>
      </w:r>
    </w:p>
    <w:p w14:paraId="1E7CC6D4" w14:textId="77777777" w:rsidR="002C23F9" w:rsidRPr="005D69ED" w:rsidRDefault="002C23F9" w:rsidP="0059765D">
      <w:pPr>
        <w:widowControl/>
        <w:numPr>
          <w:ilvl w:val="2"/>
          <w:numId w:val="12"/>
        </w:numPr>
        <w:spacing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 xml:space="preserve">Servicii de cercetare pentru activități de cercetare industrială și/sau pentru dezvoltare experimentală </w:t>
      </w:r>
    </w:p>
    <w:p w14:paraId="33E482AA" w14:textId="77777777" w:rsidR="002C23F9" w:rsidRPr="005D69ED" w:rsidRDefault="002C23F9" w:rsidP="0059765D">
      <w:pPr>
        <w:widowControl/>
        <w:numPr>
          <w:ilvl w:val="2"/>
          <w:numId w:val="12"/>
        </w:numPr>
        <w:spacing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 xml:space="preserve">Servicii de consultanţă şi servicii echivalente folosite exclusiv pentru activităţile de cercetare industrială, pentru dezvoltare experimentală </w:t>
      </w:r>
    </w:p>
    <w:p w14:paraId="607590D1" w14:textId="4D6B926C" w:rsidR="002C23F9" w:rsidRPr="005D69ED" w:rsidRDefault="002C23F9" w:rsidP="0059765D">
      <w:pPr>
        <w:widowControl/>
        <w:numPr>
          <w:ilvl w:val="1"/>
          <w:numId w:val="12"/>
        </w:numPr>
        <w:spacing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 xml:space="preserve">Cheltuieli de închiriere pentru </w:t>
      </w:r>
      <w:r w:rsidR="007C3714" w:rsidRPr="005D69ED">
        <w:rPr>
          <w:rFonts w:asciiTheme="minorHAnsi" w:eastAsia="Times New Roman" w:hAnsiTheme="minorHAnsi" w:cstheme="minorHAnsi"/>
          <w:szCs w:val="24"/>
          <w:lang w:val="ro-RO"/>
        </w:rPr>
        <w:t>imobile</w:t>
      </w:r>
      <w:r w:rsidR="00C52EE9" w:rsidRPr="005D69ED">
        <w:rPr>
          <w:rFonts w:asciiTheme="minorHAnsi" w:eastAsia="Times New Roman" w:hAnsiTheme="minorHAnsi" w:cstheme="minorHAnsi"/>
          <w:szCs w:val="24"/>
          <w:lang w:val="ro-RO"/>
        </w:rPr>
        <w:t>/spații</w:t>
      </w:r>
      <w:r w:rsidR="00807F3B" w:rsidRPr="005D69ED">
        <w:rPr>
          <w:rFonts w:asciiTheme="minorHAnsi" w:eastAsia="Times New Roman" w:hAnsiTheme="minorHAnsi" w:cstheme="minorHAnsi"/>
          <w:szCs w:val="24"/>
          <w:lang w:val="ro-RO"/>
        </w:rPr>
        <w:t xml:space="preserve"> </w:t>
      </w:r>
      <w:r w:rsidR="00637081" w:rsidRPr="005D69ED">
        <w:rPr>
          <w:rFonts w:asciiTheme="minorHAnsi" w:eastAsia="Times New Roman" w:hAnsiTheme="minorHAnsi" w:cstheme="minorHAnsi"/>
          <w:szCs w:val="24"/>
          <w:lang w:val="ro-RO"/>
        </w:rPr>
        <w:t>constituite</w:t>
      </w:r>
      <w:r w:rsidR="00807F3B" w:rsidRPr="005D69ED">
        <w:rPr>
          <w:rFonts w:asciiTheme="minorHAnsi" w:eastAsia="Times New Roman" w:hAnsiTheme="minorHAnsi" w:cstheme="minorHAnsi"/>
          <w:szCs w:val="24"/>
          <w:lang w:val="ro-RO"/>
        </w:rPr>
        <w:t xml:space="preserve"> ca locați</w:t>
      </w:r>
      <w:r w:rsidR="00637081" w:rsidRPr="005D69ED">
        <w:rPr>
          <w:rFonts w:asciiTheme="minorHAnsi" w:eastAsia="Times New Roman" w:hAnsiTheme="minorHAnsi" w:cstheme="minorHAnsi"/>
          <w:szCs w:val="24"/>
          <w:lang w:val="ro-RO"/>
        </w:rPr>
        <w:t>e</w:t>
      </w:r>
      <w:r w:rsidR="00807F3B" w:rsidRPr="005D69ED">
        <w:rPr>
          <w:rFonts w:asciiTheme="minorHAnsi" w:eastAsia="Times New Roman" w:hAnsiTheme="minorHAnsi" w:cstheme="minorHAnsi"/>
          <w:szCs w:val="24"/>
          <w:lang w:val="ro-RO"/>
        </w:rPr>
        <w:t xml:space="preserve"> de implementare</w:t>
      </w:r>
      <w:r w:rsidRPr="005D69ED">
        <w:rPr>
          <w:rFonts w:asciiTheme="minorHAnsi" w:eastAsia="Times New Roman" w:hAnsiTheme="minorHAnsi" w:cstheme="minorHAnsi"/>
          <w:szCs w:val="24"/>
          <w:lang w:val="ro-RO"/>
        </w:rPr>
        <w:t xml:space="preserve">, în măsura </w:t>
      </w:r>
      <w:r w:rsidR="00C52EE9" w:rsidRPr="005D69ED">
        <w:rPr>
          <w:rFonts w:asciiTheme="minorHAnsi" w:eastAsia="Times New Roman" w:hAnsiTheme="minorHAnsi" w:cstheme="minorHAnsi"/>
          <w:szCs w:val="24"/>
          <w:lang w:val="ro-RO"/>
        </w:rPr>
        <w:t xml:space="preserve">şi pe durata utilizării acestora </w:t>
      </w:r>
      <w:r w:rsidRPr="005D69ED">
        <w:rPr>
          <w:rFonts w:asciiTheme="minorHAnsi" w:eastAsia="Times New Roman" w:hAnsiTheme="minorHAnsi" w:cstheme="minorHAnsi"/>
          <w:szCs w:val="24"/>
          <w:lang w:val="ro-RO"/>
        </w:rPr>
        <w:t>pentru activitățile de cercetare industrială/ dezvoltare experimentală ale proiectului</w:t>
      </w:r>
      <w:r w:rsidR="00087F4B" w:rsidRPr="005D69ED">
        <w:rPr>
          <w:rFonts w:asciiTheme="minorHAnsi" w:eastAsia="Times New Roman" w:hAnsiTheme="minorHAnsi" w:cstheme="minorHAnsi"/>
          <w:szCs w:val="24"/>
          <w:lang w:val="ro-RO"/>
        </w:rPr>
        <w:t>;</w:t>
      </w:r>
    </w:p>
    <w:p w14:paraId="365E3E5D" w14:textId="6283EB0D" w:rsidR="0036124E" w:rsidRPr="005D69ED" w:rsidRDefault="0036124E" w:rsidP="0059765D">
      <w:pPr>
        <w:widowControl/>
        <w:numPr>
          <w:ilvl w:val="1"/>
          <w:numId w:val="12"/>
        </w:numPr>
        <w:spacing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Cheltuieli pentru proiectare și asistență tehnică a lucrărilor(capitolul 3 din devizul general conform HG 907/2016)</w:t>
      </w:r>
    </w:p>
    <w:p w14:paraId="599BF176" w14:textId="399E34D9" w:rsidR="0036124E" w:rsidRPr="005D69ED" w:rsidRDefault="0036124E" w:rsidP="0059765D">
      <w:pPr>
        <w:pStyle w:val="ListParagraph"/>
        <w:numPr>
          <w:ilvl w:val="0"/>
          <w:numId w:val="28"/>
        </w:numPr>
        <w:spacing w:line="276" w:lineRule="auto"/>
        <w:ind w:left="1800"/>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lastRenderedPageBreak/>
        <w:t>cheltuieli privind studii de teren - acestea includ cheltuieli cu privire la studii geotehnice, geologice, hidrologice, hidro-geotehnice, fotogrammetrice, topografice și de stabilitate ale terenului pe care se amplasează obiectivul de investiție; sunt eligibile doar cheltuielile legate direct și într-o proporție de până la 5% din cheltuielile de la a) vii. 3 și 5;</w:t>
      </w:r>
    </w:p>
    <w:p w14:paraId="4E8B1003" w14:textId="2ECF6A17" w:rsidR="0036124E" w:rsidRPr="005D69ED" w:rsidRDefault="0036124E" w:rsidP="0059765D">
      <w:pPr>
        <w:pStyle w:val="ListParagraph"/>
        <w:numPr>
          <w:ilvl w:val="0"/>
          <w:numId w:val="28"/>
        </w:numPr>
        <w:spacing w:line="276" w:lineRule="auto"/>
        <w:ind w:left="1800"/>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cheltuieli privind obținerea de avize, acorduri și autorizații - acestea includ cheltuieli cu privire la obținerea/prelungirea valabilității certificatului de urbanism, obținerea/prelungirea valabilității autorizației de construire/desființare, obținerea avizelor și acordurilor pentru racorduri și branșamente la rețele publice de apă, canalizare, gaze, termoficare, energie electrică, telefonie etc., obținerea certificatului de nomenclatură stradală și adresă, întocmirea documentației, obținerea numărului cadastral provizoriu și înregistrarea terenului în cartea funciară; obținerea acordului de mediu; obținerea avizului P.S.I.; comisioane, cote și taxe, cuprinzând cota aferentă Inspectoratului de Stat în Construcții pentru controlul calității lucrărilor de construcții, cota pentru controlul statului în amenajarea teritoriului, urbanism și pentru autorizarea lucrărilor de construcții, cota aferentă Casei Sociale a Constructorilor, taxe pentru acorduri, avize și autorizația de construire/desființare; achiziționarea semnăturii electronice; alte avize, acorduri și autorizații (doar în legătură directă și într-o proporție de până la 5% din cheltuielile de la a) vii. 3 și 5;</w:t>
      </w:r>
    </w:p>
    <w:p w14:paraId="47F21C41" w14:textId="522DB3CD" w:rsidR="0036124E" w:rsidRPr="005D69ED" w:rsidRDefault="0036124E" w:rsidP="0059765D">
      <w:pPr>
        <w:pStyle w:val="ListParagraph"/>
        <w:numPr>
          <w:ilvl w:val="0"/>
          <w:numId w:val="28"/>
        </w:numPr>
        <w:spacing w:line="276" w:lineRule="auto"/>
        <w:ind w:left="1800"/>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cheltuieli privind proiectarea, asistență tehnică și ingineria - acestea includ cheltuielile pentru elaborarea documentațiilor necesare obținerii acordurilor, avizelor și autorizațiilor aferente obiectivului de investiție (documentații ce stau la baza emiterii avizelor și acordurilor impuse prin certificatul de urbanism, documentații urbanistice, studii de impact, studii/expertize de amplasament, studii de trafic etc.); se aplică doar cheltuielilor legate direct și într-o proporție de până la 5% din cheltuielile de la a) vii. 3 și 5;</w:t>
      </w:r>
      <w:r w:rsidRPr="005D69ED">
        <w:rPr>
          <w:rFonts w:asciiTheme="minorHAnsi" w:eastAsia="Times New Roman" w:hAnsiTheme="minorHAnsi" w:cstheme="minorHAnsi"/>
          <w:szCs w:val="24"/>
        </w:rPr>
        <w:t>;</w:t>
      </w:r>
    </w:p>
    <w:p w14:paraId="194192B2" w14:textId="77777777" w:rsidR="00CB0D71" w:rsidRPr="005D69ED" w:rsidRDefault="002C23F9" w:rsidP="0059765D">
      <w:pPr>
        <w:widowControl/>
        <w:numPr>
          <w:ilvl w:val="1"/>
          <w:numId w:val="12"/>
        </w:numPr>
        <w:spacing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Cheltuieli cu lucrările pentru construirea/extindere</w:t>
      </w:r>
      <w:r w:rsidR="00CB0D71" w:rsidRPr="005D69ED">
        <w:rPr>
          <w:rFonts w:asciiTheme="minorHAnsi" w:eastAsia="Times New Roman" w:hAnsiTheme="minorHAnsi" w:cstheme="minorHAnsi"/>
          <w:szCs w:val="24"/>
          <w:lang w:val="ro-RO"/>
        </w:rPr>
        <w:t>a</w:t>
      </w:r>
      <w:r w:rsidRPr="005D69ED">
        <w:rPr>
          <w:rFonts w:asciiTheme="minorHAnsi" w:eastAsia="Times New Roman" w:hAnsiTheme="minorHAnsi" w:cstheme="minorHAnsi"/>
          <w:szCs w:val="24"/>
          <w:lang w:val="ro-RO"/>
        </w:rPr>
        <w:t>/modernizare</w:t>
      </w:r>
      <w:r w:rsidR="00CB0D71" w:rsidRPr="005D69ED">
        <w:rPr>
          <w:rFonts w:asciiTheme="minorHAnsi" w:eastAsia="Times New Roman" w:hAnsiTheme="minorHAnsi" w:cstheme="minorHAnsi"/>
          <w:szCs w:val="24"/>
          <w:lang w:val="ro-RO"/>
        </w:rPr>
        <w:t>a</w:t>
      </w:r>
      <w:r w:rsidR="00382817" w:rsidRPr="005D69ED">
        <w:rPr>
          <w:rFonts w:asciiTheme="minorHAnsi" w:eastAsia="Times New Roman" w:hAnsiTheme="minorHAnsi" w:cstheme="minorHAnsi"/>
          <w:szCs w:val="24"/>
          <w:lang w:val="ro-RO"/>
        </w:rPr>
        <w:t xml:space="preserve"> </w:t>
      </w:r>
      <w:r w:rsidR="00F853FC" w:rsidRPr="005D69ED">
        <w:rPr>
          <w:rFonts w:asciiTheme="minorHAnsi" w:eastAsia="Times New Roman" w:hAnsiTheme="minorHAnsi" w:cstheme="minorHAnsi"/>
          <w:szCs w:val="24"/>
          <w:lang w:val="ro-RO"/>
        </w:rPr>
        <w:t>imobilului</w:t>
      </w:r>
      <w:r w:rsidRPr="005D69ED">
        <w:rPr>
          <w:rFonts w:asciiTheme="minorHAnsi" w:eastAsia="Times New Roman" w:hAnsiTheme="minorHAnsi" w:cstheme="minorHAnsi"/>
          <w:szCs w:val="24"/>
          <w:lang w:val="ro-RO"/>
        </w:rPr>
        <w:t xml:space="preserve"> destinat activităților de cercetare-dezvoltare</w:t>
      </w:r>
      <w:r w:rsidR="00087F4B" w:rsidRPr="005D69ED">
        <w:rPr>
          <w:rFonts w:asciiTheme="minorHAnsi" w:eastAsia="Times New Roman" w:hAnsiTheme="minorHAnsi" w:cstheme="minorHAnsi"/>
          <w:szCs w:val="24"/>
          <w:lang w:val="ro-RO"/>
        </w:rPr>
        <w:t>:</w:t>
      </w:r>
    </w:p>
    <w:p w14:paraId="3E57A4C7" w14:textId="7E8CE7AA" w:rsidR="00C52EE9" w:rsidRPr="005D69ED" w:rsidRDefault="002C23F9" w:rsidP="0059765D">
      <w:pPr>
        <w:pStyle w:val="ListParagraph"/>
        <w:numPr>
          <w:ilvl w:val="0"/>
          <w:numId w:val="25"/>
        </w:numPr>
        <w:spacing w:line="276" w:lineRule="auto"/>
        <w:ind w:left="1800"/>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Cheltuieli pentru amenajarea terenului</w:t>
      </w:r>
      <w:r w:rsidR="00CB0D71" w:rsidRPr="005D69ED">
        <w:rPr>
          <w:rFonts w:asciiTheme="minorHAnsi" w:eastAsia="Times New Roman" w:hAnsiTheme="minorHAnsi" w:cstheme="minorHAnsi"/>
          <w:szCs w:val="24"/>
          <w:lang w:val="ro-RO"/>
        </w:rPr>
        <w:t xml:space="preserve"> (</w:t>
      </w:r>
      <w:r w:rsidR="00DB017E" w:rsidRPr="005D69ED">
        <w:rPr>
          <w:rFonts w:asciiTheme="minorHAnsi" w:eastAsia="Times New Roman" w:hAnsiTheme="minorHAnsi" w:cstheme="minorHAnsi"/>
          <w:szCs w:val="24"/>
          <w:lang w:val="ro-RO"/>
        </w:rPr>
        <w:t xml:space="preserve">Doar în legătură directă și într-o proporție de până la </w:t>
      </w:r>
      <w:r w:rsidR="00CB0D71" w:rsidRPr="005D69ED">
        <w:rPr>
          <w:rFonts w:asciiTheme="minorHAnsi" w:eastAsia="Times New Roman" w:hAnsiTheme="minorHAnsi" w:cstheme="minorHAnsi"/>
          <w:szCs w:val="24"/>
          <w:lang w:val="ro-RO"/>
        </w:rPr>
        <w:t>10%</w:t>
      </w:r>
      <w:r w:rsidR="003A5F38" w:rsidRPr="005D69ED">
        <w:rPr>
          <w:rFonts w:asciiTheme="minorHAnsi" w:eastAsia="Times New Roman" w:hAnsiTheme="minorHAnsi" w:cstheme="minorHAnsi"/>
          <w:szCs w:val="24"/>
          <w:lang w:val="ro-RO"/>
        </w:rPr>
        <w:t xml:space="preserve"> din </w:t>
      </w:r>
      <w:r w:rsidR="00C54B04" w:rsidRPr="005D69ED">
        <w:rPr>
          <w:rFonts w:asciiTheme="minorHAnsi" w:eastAsia="Times New Roman" w:hAnsiTheme="minorHAnsi" w:cstheme="minorHAnsi"/>
          <w:szCs w:val="24"/>
          <w:lang w:val="ro-RO"/>
        </w:rPr>
        <w:t xml:space="preserve">valoarea cheltuielilor de la </w:t>
      </w:r>
      <w:r w:rsidR="0036124E" w:rsidRPr="005D69ED">
        <w:rPr>
          <w:rFonts w:asciiTheme="minorHAnsi" w:eastAsia="Times New Roman" w:hAnsiTheme="minorHAnsi" w:cstheme="minorHAnsi"/>
          <w:szCs w:val="24"/>
          <w:lang w:val="ro-RO"/>
        </w:rPr>
        <w:t>a) vii. 3 și 5</w:t>
      </w:r>
      <w:r w:rsidR="00C52EE9" w:rsidRPr="005D69ED">
        <w:rPr>
          <w:rFonts w:asciiTheme="minorHAnsi" w:eastAsia="Times New Roman" w:hAnsiTheme="minorHAnsi" w:cstheme="minorHAnsi"/>
          <w:szCs w:val="24"/>
          <w:lang w:val="ro-RO"/>
        </w:rPr>
        <w:t xml:space="preserve">. </w:t>
      </w:r>
      <w:r w:rsidRPr="005D69ED">
        <w:rPr>
          <w:rFonts w:asciiTheme="minorHAnsi" w:eastAsia="Times New Roman" w:hAnsiTheme="minorHAnsi" w:cstheme="minorHAnsi"/>
          <w:szCs w:val="24"/>
          <w:lang w:val="ro-RO"/>
        </w:rPr>
        <w:t xml:space="preserve">Se includ cheltuielile efectuate la începutul lucrărilor pentru pregătirea amplasamentului şi care constau în demolări, demontări, dezafectări, defrişări, evacuări materiale rezultate, devieri reţele de utilităţi din amplasament, sistematizări pe verticală, </w:t>
      </w:r>
      <w:r w:rsidRPr="005D69ED">
        <w:rPr>
          <w:rFonts w:asciiTheme="minorHAnsi" w:eastAsia="Times New Roman" w:hAnsiTheme="minorHAnsi" w:cstheme="minorHAnsi"/>
          <w:szCs w:val="24"/>
          <w:lang w:val="ro-RO"/>
        </w:rPr>
        <w:lastRenderedPageBreak/>
        <w:t>drenaje, echipamente (exclusiv cele aferente realizării lucrărilor componentei de „cercetare-dezvoltare” a proiec</w:t>
      </w:r>
      <w:r w:rsidR="00CB0D71" w:rsidRPr="005D69ED">
        <w:rPr>
          <w:rFonts w:asciiTheme="minorHAnsi" w:eastAsia="Times New Roman" w:hAnsiTheme="minorHAnsi" w:cstheme="minorHAnsi"/>
          <w:szCs w:val="24"/>
          <w:lang w:val="ro-RO"/>
        </w:rPr>
        <w:t>tului)</w:t>
      </w:r>
      <w:r w:rsidR="005659C8" w:rsidRPr="005D69ED">
        <w:rPr>
          <w:rFonts w:asciiTheme="minorHAnsi" w:eastAsia="Times New Roman" w:hAnsiTheme="minorHAnsi" w:cstheme="minorHAnsi"/>
          <w:szCs w:val="24"/>
          <w:lang w:val="ro-RO"/>
        </w:rPr>
        <w:t>;</w:t>
      </w:r>
    </w:p>
    <w:p w14:paraId="43593292" w14:textId="78CC7A0A" w:rsidR="002C23F9" w:rsidRPr="005D69ED" w:rsidRDefault="002C23F9" w:rsidP="0059765D">
      <w:pPr>
        <w:pStyle w:val="ListParagraph"/>
        <w:numPr>
          <w:ilvl w:val="0"/>
          <w:numId w:val="25"/>
        </w:numPr>
        <w:spacing w:after="0" w:line="276" w:lineRule="auto"/>
        <w:ind w:left="1800"/>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 xml:space="preserve">Cheltuielile eligibile pentru asigurarea utilităţilor necesare funcţionării obiectivului de investiţie </w:t>
      </w:r>
      <w:r w:rsidR="00CB0D71" w:rsidRPr="005D69ED">
        <w:rPr>
          <w:rFonts w:asciiTheme="minorHAnsi" w:eastAsia="Times New Roman" w:hAnsiTheme="minorHAnsi" w:cstheme="minorHAnsi"/>
          <w:szCs w:val="24"/>
          <w:lang w:val="ro-RO"/>
        </w:rPr>
        <w:t>(</w:t>
      </w:r>
      <w:r w:rsidR="005659C8" w:rsidRPr="005D69ED">
        <w:rPr>
          <w:rFonts w:asciiTheme="minorHAnsi" w:eastAsia="Times New Roman" w:hAnsiTheme="minorHAnsi" w:cstheme="minorHAnsi"/>
          <w:szCs w:val="24"/>
          <w:lang w:val="ro-RO"/>
        </w:rPr>
        <w:t>se vor lua în considerare d</w:t>
      </w:r>
      <w:r w:rsidR="00DB017E" w:rsidRPr="005D69ED">
        <w:rPr>
          <w:rFonts w:asciiTheme="minorHAnsi" w:eastAsia="Times New Roman" w:hAnsiTheme="minorHAnsi" w:cstheme="minorHAnsi"/>
          <w:szCs w:val="24"/>
          <w:lang w:val="ro-RO"/>
        </w:rPr>
        <w:t>oar</w:t>
      </w:r>
      <w:r w:rsidR="005659C8" w:rsidRPr="005D69ED">
        <w:rPr>
          <w:rFonts w:asciiTheme="minorHAnsi" w:eastAsia="Times New Roman" w:hAnsiTheme="minorHAnsi" w:cstheme="minorHAnsi"/>
          <w:szCs w:val="24"/>
          <w:lang w:val="ro-RO"/>
        </w:rPr>
        <w:t xml:space="preserve"> cheltuielile</w:t>
      </w:r>
      <w:r w:rsidR="00DB017E" w:rsidRPr="005D69ED">
        <w:rPr>
          <w:rFonts w:asciiTheme="minorHAnsi" w:eastAsia="Times New Roman" w:hAnsiTheme="minorHAnsi" w:cstheme="minorHAnsi"/>
          <w:szCs w:val="24"/>
          <w:lang w:val="ro-RO"/>
        </w:rPr>
        <w:t xml:space="preserve"> în legătură directă și într-o proporție de până la </w:t>
      </w:r>
      <w:r w:rsidR="00CB0D71" w:rsidRPr="005D69ED">
        <w:rPr>
          <w:rFonts w:asciiTheme="minorHAnsi" w:eastAsia="Times New Roman" w:hAnsiTheme="minorHAnsi" w:cstheme="minorHAnsi"/>
          <w:szCs w:val="24"/>
          <w:lang w:val="ro-RO"/>
        </w:rPr>
        <w:t>10%</w:t>
      </w:r>
      <w:r w:rsidR="00686D04" w:rsidRPr="005D69ED">
        <w:rPr>
          <w:rFonts w:asciiTheme="minorHAnsi" w:eastAsia="Times New Roman" w:hAnsiTheme="minorHAnsi" w:cstheme="minorHAnsi"/>
          <w:szCs w:val="24"/>
          <w:lang w:val="ro-RO"/>
        </w:rPr>
        <w:t xml:space="preserve"> din </w:t>
      </w:r>
      <w:r w:rsidR="00FE1B6D" w:rsidRPr="005D69ED">
        <w:rPr>
          <w:rFonts w:asciiTheme="minorHAnsi" w:eastAsia="Times New Roman" w:hAnsiTheme="minorHAnsi" w:cstheme="minorHAnsi"/>
          <w:szCs w:val="24"/>
          <w:lang w:val="ro-RO"/>
        </w:rPr>
        <w:t xml:space="preserve">cheltuielile de la </w:t>
      </w:r>
      <w:r w:rsidR="0036124E" w:rsidRPr="005D69ED">
        <w:rPr>
          <w:rFonts w:asciiTheme="minorHAnsi" w:eastAsia="Times New Roman" w:hAnsiTheme="minorHAnsi" w:cstheme="minorHAnsi"/>
          <w:szCs w:val="24"/>
          <w:lang w:val="ro-RO"/>
        </w:rPr>
        <w:t xml:space="preserve">a) vii. 3 și 5. </w:t>
      </w:r>
      <w:r w:rsidR="00087F4B" w:rsidRPr="005D69ED">
        <w:rPr>
          <w:rFonts w:asciiTheme="minorHAnsi" w:eastAsia="Times New Roman" w:hAnsiTheme="minorHAnsi" w:cstheme="minorHAnsi"/>
          <w:szCs w:val="24"/>
          <w:lang w:val="ro-RO"/>
        </w:rPr>
        <w:t>Includ c</w:t>
      </w:r>
      <w:r w:rsidRPr="005D69ED">
        <w:rPr>
          <w:rFonts w:asciiTheme="minorHAnsi" w:eastAsia="Times New Roman" w:hAnsiTheme="minorHAnsi" w:cstheme="minorHAnsi"/>
          <w:szCs w:val="24"/>
          <w:lang w:val="ro-RO"/>
        </w:rPr>
        <w:t>heltuieli precum: alimentare cu apă, canalizare, alimentare cu gaze naturale, agent termic, energie electrică, telecomunicaţii, care se execută pe amplasamentul obiectivului de investiţie delimitat din punct de vedere juridic, precum şi cheltuielile aferente racordării la reţelele de utilităţi</w:t>
      </w:r>
      <w:r w:rsidR="00087F4B" w:rsidRPr="005D69ED">
        <w:rPr>
          <w:rFonts w:asciiTheme="minorHAnsi" w:eastAsia="Times New Roman" w:hAnsiTheme="minorHAnsi" w:cstheme="minorHAnsi"/>
          <w:szCs w:val="24"/>
          <w:lang w:val="ro-RO"/>
        </w:rPr>
        <w:t>;</w:t>
      </w:r>
    </w:p>
    <w:p w14:paraId="4FF5E16E" w14:textId="77777777" w:rsidR="00C52EE9" w:rsidRPr="005D69ED" w:rsidRDefault="00C52EE9" w:rsidP="0059765D">
      <w:pPr>
        <w:widowControl/>
        <w:numPr>
          <w:ilvl w:val="0"/>
          <w:numId w:val="25"/>
        </w:numPr>
        <w:spacing w:line="276" w:lineRule="auto"/>
        <w:ind w:left="1800"/>
        <w:contextualSpacing/>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w:t>
      </w:r>
      <w:r w:rsidR="002C23F9" w:rsidRPr="005D69ED">
        <w:rPr>
          <w:rFonts w:asciiTheme="minorHAnsi" w:eastAsia="Times New Roman" w:hAnsiTheme="minorHAnsi" w:cstheme="minorHAnsi"/>
          <w:szCs w:val="24"/>
          <w:lang w:val="ro-RO"/>
        </w:rPr>
        <w:t>heltuieli p</w:t>
      </w:r>
      <w:r w:rsidRPr="005D69ED">
        <w:rPr>
          <w:rFonts w:asciiTheme="minorHAnsi" w:eastAsia="Times New Roman" w:hAnsiTheme="minorHAnsi" w:cstheme="minorHAnsi"/>
          <w:szCs w:val="24"/>
          <w:lang w:val="ro-RO"/>
        </w:rPr>
        <w:t xml:space="preserve">entru construcții și instalații. </w:t>
      </w:r>
      <w:r w:rsidR="002C23F9" w:rsidRPr="005D69ED">
        <w:rPr>
          <w:rFonts w:asciiTheme="minorHAnsi" w:eastAsia="Times New Roman" w:hAnsiTheme="minorHAnsi" w:cstheme="minorHAnsi"/>
          <w:szCs w:val="24"/>
          <w:lang w:val="ro-RO"/>
        </w:rPr>
        <w:t>Construcţii şi instalaţii aferente activităților de construire/ extindere/modernizare a infrastructurii de cercetare-dezvoltare, inclusiv a utilităţilor generale aferente, respectiv cheltuielile aferente execuţiei tuturor obiectelor cuprinse în obiectivul de investiţie: clădiri, construcţii speciale, instalaţii aferente construcţiilor, precum instalaţii electrice, sanitare, instalaţii interioare de alimentare cu gaze naturale, instalaţii de încălzire, ventilare, climatizare, P.S.I., telecomunicaţii şi alte tipuri de instalaţii impuse de destinaţia obiectivului;</w:t>
      </w:r>
    </w:p>
    <w:p w14:paraId="26D6235C" w14:textId="49BADFB8" w:rsidR="00C52EE9" w:rsidRPr="005D69ED" w:rsidRDefault="002C23F9" w:rsidP="0059765D">
      <w:pPr>
        <w:widowControl/>
        <w:numPr>
          <w:ilvl w:val="0"/>
          <w:numId w:val="25"/>
        </w:numPr>
        <w:spacing w:line="276" w:lineRule="auto"/>
        <w:ind w:left="1800"/>
        <w:contextualSpacing/>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Cheltuieli aferente activităților de realizarea de căilor de acces în cadrul imobilului pe care se realizeaza investiția</w:t>
      </w:r>
      <w:r w:rsidR="00807F3B" w:rsidRPr="005D69ED">
        <w:rPr>
          <w:rFonts w:asciiTheme="minorHAnsi" w:eastAsia="Times New Roman" w:hAnsiTheme="minorHAnsi" w:cstheme="minorHAnsi"/>
          <w:szCs w:val="24"/>
          <w:lang w:val="ro-RO"/>
        </w:rPr>
        <w:t>, în măsura în care acestea sunt încadrate în capitolul 2 din devizul general conform HG 907/2016 cu modificarile si completarile ulterioare</w:t>
      </w:r>
      <w:r w:rsidR="005659C8" w:rsidRPr="005D69ED">
        <w:rPr>
          <w:rFonts w:asciiTheme="minorHAnsi" w:eastAsia="Times New Roman" w:hAnsiTheme="minorHAnsi" w:cstheme="minorHAnsi"/>
          <w:szCs w:val="24"/>
          <w:lang w:val="ro-RO"/>
        </w:rPr>
        <w:t>; se vor lua în calcul d</w:t>
      </w:r>
      <w:r w:rsidR="00DB017E" w:rsidRPr="005D69ED">
        <w:rPr>
          <w:rFonts w:asciiTheme="minorHAnsi" w:eastAsia="Times New Roman" w:hAnsiTheme="minorHAnsi" w:cstheme="minorHAnsi"/>
          <w:szCs w:val="24"/>
          <w:lang w:val="ro-RO"/>
        </w:rPr>
        <w:t xml:space="preserve">oar </w:t>
      </w:r>
      <w:r w:rsidR="00FE1B6D" w:rsidRPr="005D69ED">
        <w:rPr>
          <w:rFonts w:asciiTheme="minorHAnsi" w:eastAsia="Times New Roman" w:hAnsiTheme="minorHAnsi" w:cstheme="minorHAnsi"/>
          <w:szCs w:val="24"/>
          <w:lang w:val="ro-RO"/>
        </w:rPr>
        <w:t>cheltuielile</w:t>
      </w:r>
      <w:r w:rsidR="005659C8" w:rsidRPr="005D69ED">
        <w:rPr>
          <w:rFonts w:asciiTheme="minorHAnsi" w:eastAsia="Times New Roman" w:hAnsiTheme="minorHAnsi" w:cstheme="minorHAnsi"/>
          <w:szCs w:val="24"/>
          <w:lang w:val="ro-RO"/>
        </w:rPr>
        <w:t xml:space="preserve"> aflate </w:t>
      </w:r>
      <w:r w:rsidR="00DB017E" w:rsidRPr="005D69ED">
        <w:rPr>
          <w:rFonts w:asciiTheme="minorHAnsi" w:eastAsia="Times New Roman" w:hAnsiTheme="minorHAnsi" w:cstheme="minorHAnsi"/>
          <w:szCs w:val="24"/>
          <w:lang w:val="ro-RO"/>
        </w:rPr>
        <w:t xml:space="preserve">în legătură directă și într-o proporție de până la </w:t>
      </w:r>
      <w:r w:rsidR="00414A85" w:rsidRPr="005D69ED">
        <w:rPr>
          <w:rFonts w:asciiTheme="minorHAnsi" w:eastAsia="Times New Roman" w:hAnsiTheme="minorHAnsi" w:cstheme="minorHAnsi"/>
          <w:szCs w:val="24"/>
          <w:lang w:val="ro-RO"/>
        </w:rPr>
        <w:t>10%</w:t>
      </w:r>
      <w:r w:rsidR="00686D04" w:rsidRPr="005D69ED">
        <w:rPr>
          <w:rFonts w:asciiTheme="minorHAnsi" w:eastAsia="Times New Roman" w:hAnsiTheme="minorHAnsi" w:cstheme="minorHAnsi"/>
          <w:szCs w:val="24"/>
          <w:lang w:val="ro-RO"/>
        </w:rPr>
        <w:t xml:space="preserve"> din </w:t>
      </w:r>
      <w:r w:rsidR="00FE1B6D" w:rsidRPr="005D69ED">
        <w:rPr>
          <w:rFonts w:asciiTheme="minorHAnsi" w:eastAsia="Times New Roman" w:hAnsiTheme="minorHAnsi" w:cstheme="minorHAnsi"/>
          <w:szCs w:val="24"/>
          <w:lang w:val="ro-RO"/>
        </w:rPr>
        <w:t xml:space="preserve">cheltuielile de la </w:t>
      </w:r>
      <w:r w:rsidR="0036124E" w:rsidRPr="005D69ED">
        <w:rPr>
          <w:rFonts w:asciiTheme="minorHAnsi" w:eastAsia="Times New Roman" w:hAnsiTheme="minorHAnsi" w:cstheme="minorHAnsi"/>
          <w:szCs w:val="24"/>
          <w:lang w:val="ro-RO"/>
        </w:rPr>
        <w:t>a) vii. 3 și 5</w:t>
      </w:r>
      <w:r w:rsidR="00FE1B6D" w:rsidRPr="005D69ED">
        <w:rPr>
          <w:rFonts w:asciiTheme="minorHAnsi" w:eastAsia="Times New Roman" w:hAnsiTheme="minorHAnsi" w:cstheme="minorHAnsi"/>
          <w:szCs w:val="24"/>
          <w:lang w:val="ro-RO"/>
        </w:rPr>
        <w:t>.</w:t>
      </w:r>
    </w:p>
    <w:p w14:paraId="00175791" w14:textId="5B21537F" w:rsidR="002C23F9" w:rsidRPr="005D69ED" w:rsidRDefault="002C23F9" w:rsidP="0059765D">
      <w:pPr>
        <w:widowControl/>
        <w:numPr>
          <w:ilvl w:val="0"/>
          <w:numId w:val="25"/>
        </w:numPr>
        <w:spacing w:after="200" w:line="276" w:lineRule="auto"/>
        <w:ind w:left="1800"/>
        <w:contextualSpacing/>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 xml:space="preserve">Cheltuieli cu achiziţionarea de instalaţii/ echipamente specifice şi sisteme care utilizează surse regenerabile/ alternative de energie pentru </w:t>
      </w:r>
      <w:r w:rsidR="00F853FC" w:rsidRPr="005D69ED">
        <w:rPr>
          <w:rFonts w:asciiTheme="minorHAnsi" w:eastAsia="Times New Roman" w:hAnsiTheme="minorHAnsi" w:cstheme="minorHAnsi"/>
          <w:szCs w:val="24"/>
          <w:lang w:val="ro-RO"/>
        </w:rPr>
        <w:t>generarea de energie, pentru</w:t>
      </w:r>
      <w:r w:rsidRPr="005D69ED">
        <w:rPr>
          <w:rFonts w:asciiTheme="minorHAnsi" w:eastAsia="Times New Roman" w:hAnsiTheme="minorHAnsi" w:cstheme="minorHAnsi"/>
          <w:szCs w:val="24"/>
          <w:lang w:val="ro-RO"/>
        </w:rPr>
        <w:t xml:space="preserve"> activităţil</w:t>
      </w:r>
      <w:r w:rsidR="00F853FC" w:rsidRPr="005D69ED">
        <w:rPr>
          <w:rFonts w:asciiTheme="minorHAnsi" w:eastAsia="Times New Roman" w:hAnsiTheme="minorHAnsi" w:cstheme="minorHAnsi"/>
          <w:szCs w:val="24"/>
          <w:lang w:val="ro-RO"/>
        </w:rPr>
        <w:t>e</w:t>
      </w:r>
      <w:r w:rsidRPr="005D69ED">
        <w:rPr>
          <w:rFonts w:asciiTheme="minorHAnsi" w:eastAsia="Times New Roman" w:hAnsiTheme="minorHAnsi" w:cstheme="minorHAnsi"/>
          <w:szCs w:val="24"/>
          <w:lang w:val="ro-RO"/>
        </w:rPr>
        <w:t xml:space="preserve"> pentru care </w:t>
      </w:r>
      <w:r w:rsidR="00F853FC" w:rsidRPr="005D69ED">
        <w:rPr>
          <w:rFonts w:asciiTheme="minorHAnsi" w:eastAsia="Times New Roman" w:hAnsiTheme="minorHAnsi" w:cstheme="minorHAnsi"/>
          <w:szCs w:val="24"/>
          <w:lang w:val="ro-RO"/>
        </w:rPr>
        <w:t>s-</w:t>
      </w:r>
      <w:r w:rsidRPr="005D69ED">
        <w:rPr>
          <w:rFonts w:asciiTheme="minorHAnsi" w:eastAsia="Times New Roman" w:hAnsiTheme="minorHAnsi" w:cstheme="minorHAnsi"/>
          <w:szCs w:val="24"/>
          <w:lang w:val="ro-RO"/>
        </w:rPr>
        <w:t>a solicitat finanţare</w:t>
      </w:r>
      <w:r w:rsidR="002413A7" w:rsidRPr="005D69ED">
        <w:rPr>
          <w:rFonts w:asciiTheme="minorHAnsi" w:eastAsia="Times New Roman" w:hAnsiTheme="minorHAnsi" w:cstheme="minorHAnsi"/>
          <w:szCs w:val="24"/>
          <w:lang w:val="ro-RO"/>
        </w:rPr>
        <w:t>. Sistemele care utilizează surse regenerabile/ alternative de energie pentru generarea de energie sunt eligibile doar</w:t>
      </w:r>
      <w:r w:rsidR="00C13F6A" w:rsidRPr="005D69ED">
        <w:rPr>
          <w:rFonts w:asciiTheme="minorHAnsi" w:eastAsia="Times New Roman" w:hAnsiTheme="minorHAnsi" w:cstheme="minorHAnsi"/>
          <w:szCs w:val="24"/>
          <w:lang w:val="ro-RO"/>
        </w:rPr>
        <w:t xml:space="preserve"> </w:t>
      </w:r>
      <w:r w:rsidR="002413A7" w:rsidRPr="005D69ED">
        <w:rPr>
          <w:rFonts w:asciiTheme="minorHAnsi" w:eastAsia="Times New Roman" w:hAnsiTheme="minorHAnsi" w:cstheme="minorHAnsi"/>
          <w:szCs w:val="24"/>
          <w:lang w:val="ro-RO"/>
        </w:rPr>
        <w:t xml:space="preserve">într-o proporție de până la 10% din cheltuielile de la </w:t>
      </w:r>
      <w:r w:rsidR="0036124E" w:rsidRPr="005D69ED">
        <w:rPr>
          <w:rFonts w:asciiTheme="minorHAnsi" w:eastAsia="Times New Roman" w:hAnsiTheme="minorHAnsi" w:cstheme="minorHAnsi"/>
          <w:szCs w:val="24"/>
          <w:lang w:val="ro-RO"/>
        </w:rPr>
        <w:t xml:space="preserve">a) vii. 3 și 5. </w:t>
      </w:r>
      <w:r w:rsidRPr="005D69ED">
        <w:rPr>
          <w:rFonts w:asciiTheme="minorHAnsi" w:eastAsia="Times New Roman" w:hAnsiTheme="minorHAnsi" w:cstheme="minorHAnsi"/>
          <w:szCs w:val="24"/>
          <w:lang w:val="ro-RO"/>
        </w:rPr>
        <w:t>Se cuprind cheltuielile pentru 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 (cu montaj)</w:t>
      </w:r>
      <w:r w:rsidR="000841A3" w:rsidRPr="005D69ED">
        <w:rPr>
          <w:rFonts w:asciiTheme="minorHAnsi" w:eastAsia="Times New Roman" w:hAnsiTheme="minorHAnsi" w:cstheme="minorHAnsi"/>
          <w:szCs w:val="24"/>
          <w:lang w:val="ro-RO"/>
        </w:rPr>
        <w:t>;</w:t>
      </w:r>
    </w:p>
    <w:p w14:paraId="07225438" w14:textId="77777777" w:rsidR="00637081" w:rsidRPr="005D69ED" w:rsidRDefault="002C23F9" w:rsidP="0059765D">
      <w:pPr>
        <w:widowControl/>
        <w:numPr>
          <w:ilvl w:val="0"/>
          <w:numId w:val="25"/>
        </w:numPr>
        <w:spacing w:line="276" w:lineRule="auto"/>
        <w:ind w:left="1800"/>
        <w:contextualSpacing/>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Chel</w:t>
      </w:r>
      <w:r w:rsidR="00C52EE9" w:rsidRPr="005D69ED">
        <w:rPr>
          <w:rFonts w:asciiTheme="minorHAnsi" w:eastAsia="Times New Roman" w:hAnsiTheme="minorHAnsi" w:cstheme="minorHAnsi"/>
          <w:szCs w:val="24"/>
          <w:lang w:val="ro-RO"/>
        </w:rPr>
        <w:t xml:space="preserve">tuielile diverse şi neprevăzute. </w:t>
      </w:r>
      <w:r w:rsidR="00637081" w:rsidRPr="005D69ED">
        <w:rPr>
          <w:rFonts w:asciiTheme="minorHAnsi" w:eastAsia="Times New Roman" w:hAnsiTheme="minorHAnsi" w:cstheme="minorHAnsi"/>
          <w:szCs w:val="24"/>
          <w:lang w:val="ro-RO"/>
        </w:rPr>
        <w:t>În conformitate cu legislaţia în domeniul achiziţiilor publice ce face referire la modificările contractuale apărute în timpul execuţiei. Cheltuielile diverse şi neprevăzute se estimează procentual, din valoarea cheltuielilor prevăzute la cap./subcap. 1.2, 1.3, 1.4, 2, 3.5, 3.8, 4 ale devizului general cf. HG 907/2016, astfel:</w:t>
      </w:r>
    </w:p>
    <w:p w14:paraId="4B05AD81" w14:textId="77777777" w:rsidR="00637081" w:rsidRPr="005D69ED" w:rsidRDefault="00637081" w:rsidP="0059765D">
      <w:pPr>
        <w:widowControl/>
        <w:spacing w:line="276" w:lineRule="auto"/>
        <w:ind w:left="1800"/>
        <w:contextualSpacing/>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lastRenderedPageBreak/>
        <w:t xml:space="preserve">  a) 10% în cazul executării unui obiectiv/obiect nou de investiţii;</w:t>
      </w:r>
    </w:p>
    <w:p w14:paraId="33DDFA71" w14:textId="77777777" w:rsidR="00637081" w:rsidRPr="005D69ED" w:rsidRDefault="00637081" w:rsidP="0059765D">
      <w:pPr>
        <w:widowControl/>
        <w:spacing w:line="276" w:lineRule="auto"/>
        <w:ind w:left="1800"/>
        <w:contextualSpacing/>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 xml:space="preserve">  b) 20% în cazul executării lucrărilor de intervenţiei la construcţie existentă.</w:t>
      </w:r>
    </w:p>
    <w:p w14:paraId="04414CBA" w14:textId="77777777" w:rsidR="00637081" w:rsidRPr="005D69ED" w:rsidRDefault="00637081" w:rsidP="0059765D">
      <w:pPr>
        <w:widowControl/>
        <w:spacing w:line="276" w:lineRule="auto"/>
        <w:ind w:left="1800"/>
        <w:contextualSpacing/>
        <w:rPr>
          <w:rFonts w:asciiTheme="minorHAnsi" w:eastAsia="Times New Roman" w:hAnsiTheme="minorHAnsi" w:cstheme="minorHAnsi"/>
          <w:szCs w:val="24"/>
          <w:lang w:val="ro-RO"/>
        </w:rPr>
      </w:pPr>
    </w:p>
    <w:p w14:paraId="4AE3FE6B" w14:textId="77777777" w:rsidR="002C23F9" w:rsidRPr="005D69ED" w:rsidRDefault="002C23F9" w:rsidP="0059765D">
      <w:pPr>
        <w:widowControl/>
        <w:numPr>
          <w:ilvl w:val="1"/>
          <w:numId w:val="12"/>
        </w:numPr>
        <w:spacing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Cheltuieli pentru achiziţia de substanţe, materiale, consumabile şi alte produse similare necesare desfăşurării activităţilor de cercetare industrială/dezvoltare experimentală</w:t>
      </w:r>
      <w:r w:rsidR="00CB0D71" w:rsidRPr="005D69ED">
        <w:rPr>
          <w:rFonts w:asciiTheme="minorHAnsi" w:eastAsia="Times New Roman" w:hAnsiTheme="minorHAnsi" w:cstheme="minorHAnsi"/>
          <w:szCs w:val="24"/>
          <w:lang w:val="ro-RO"/>
        </w:rPr>
        <w:t xml:space="preserve"> </w:t>
      </w:r>
    </w:p>
    <w:p w14:paraId="27A41D44" w14:textId="77777777" w:rsidR="002C23F9" w:rsidRPr="005D69ED" w:rsidRDefault="002C23F9" w:rsidP="0059765D">
      <w:pPr>
        <w:pStyle w:val="ListParagraph"/>
        <w:numPr>
          <w:ilvl w:val="1"/>
          <w:numId w:val="12"/>
        </w:numPr>
        <w:spacing w:after="0"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Cheltuieli pentru activitățile de inovare:</w:t>
      </w:r>
    </w:p>
    <w:p w14:paraId="5E038B86" w14:textId="77777777" w:rsidR="002C23F9" w:rsidRPr="005D69ED" w:rsidRDefault="002C23F9" w:rsidP="0059765D">
      <w:pPr>
        <w:pStyle w:val="ListParagraph"/>
        <w:numPr>
          <w:ilvl w:val="2"/>
          <w:numId w:val="22"/>
        </w:numPr>
        <w:spacing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Cheltuieli pentru obținerea, validarea și protejarea brevetelor și altor active necorporale rezultate din activitățile proiectului</w:t>
      </w:r>
      <w:r w:rsidR="00CB0D71" w:rsidRPr="005D69ED">
        <w:rPr>
          <w:rFonts w:asciiTheme="minorHAnsi" w:eastAsia="Times New Roman" w:hAnsiTheme="minorHAnsi" w:cstheme="minorHAnsi"/>
          <w:szCs w:val="24"/>
        </w:rPr>
        <w:t>;</w:t>
      </w:r>
    </w:p>
    <w:p w14:paraId="490C7B01" w14:textId="77777777" w:rsidR="002C23F9" w:rsidRPr="005D69ED" w:rsidRDefault="002C23F9" w:rsidP="0059765D">
      <w:pPr>
        <w:pStyle w:val="ListParagraph"/>
        <w:numPr>
          <w:ilvl w:val="2"/>
          <w:numId w:val="22"/>
        </w:numPr>
        <w:spacing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Cheltuieli pentru servicii de consultanță și asistență tehnică în domeniul inovării pentru achiziția, protecția și valorificarea activelor necorporale achiziționate/obținute în proiect, utilizarea standardelor și a reglementărilor care le conțin.</w:t>
      </w:r>
    </w:p>
    <w:p w14:paraId="7ED7C1B5" w14:textId="66A2E1D6" w:rsidR="002C23F9" w:rsidRPr="005D69ED" w:rsidRDefault="002C23F9" w:rsidP="0059765D">
      <w:pPr>
        <w:pStyle w:val="ListParagraph"/>
        <w:numPr>
          <w:ilvl w:val="2"/>
          <w:numId w:val="22"/>
        </w:numPr>
        <w:spacing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Cheltuieli pentru servicii de sprijinire a inovării reprezentând costuri cu spații de lucru (altele decât spațiile de lucru pentru activități de cercetare industrială/ dezvoltare experimentală), bănci de date, biblioteci, acces la laboratoare pentru teste și experimente, etichetare de calitate, testarea și certificare.</w:t>
      </w:r>
    </w:p>
    <w:p w14:paraId="11BEAF67" w14:textId="77777777" w:rsidR="0036124E" w:rsidRPr="005D69ED" w:rsidRDefault="0036124E" w:rsidP="0059765D">
      <w:pPr>
        <w:pStyle w:val="ListParagraph"/>
        <w:spacing w:line="276" w:lineRule="auto"/>
        <w:ind w:left="2160"/>
        <w:rPr>
          <w:rFonts w:asciiTheme="minorHAnsi" w:eastAsia="Times New Roman" w:hAnsiTheme="minorHAnsi" w:cstheme="minorHAnsi"/>
          <w:szCs w:val="24"/>
          <w:lang w:val="ro-RO"/>
        </w:rPr>
      </w:pPr>
    </w:p>
    <w:p w14:paraId="362F2F9F" w14:textId="77777777" w:rsidR="002C23F9" w:rsidRPr="005D69ED" w:rsidRDefault="002C23F9" w:rsidP="0059765D">
      <w:pPr>
        <w:pStyle w:val="ListParagraph"/>
        <w:numPr>
          <w:ilvl w:val="0"/>
          <w:numId w:val="12"/>
        </w:numPr>
        <w:spacing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 xml:space="preserve">Cheltuieli pentru </w:t>
      </w:r>
      <w:r w:rsidR="00414A85" w:rsidRPr="005D69ED">
        <w:rPr>
          <w:rFonts w:asciiTheme="minorHAnsi" w:eastAsia="Times New Roman" w:hAnsiTheme="minorHAnsi" w:cstheme="minorHAnsi"/>
          <w:szCs w:val="24"/>
          <w:lang w:val="ro-RO"/>
        </w:rPr>
        <w:t>activitățile aferente Componentei 2</w:t>
      </w:r>
      <w:r w:rsidRPr="005D69ED">
        <w:rPr>
          <w:rFonts w:asciiTheme="minorHAnsi" w:eastAsia="Times New Roman" w:hAnsiTheme="minorHAnsi" w:cstheme="minorHAnsi"/>
          <w:szCs w:val="24"/>
          <w:lang w:val="ro-RO"/>
        </w:rPr>
        <w:t xml:space="preserve"> - minim 30 % din cheltuielile totale eligibile</w:t>
      </w:r>
      <w:r w:rsidR="00B833AA" w:rsidRPr="005D69ED">
        <w:rPr>
          <w:rFonts w:asciiTheme="minorHAnsi" w:eastAsia="Times New Roman" w:hAnsiTheme="minorHAnsi" w:cstheme="minorHAnsi"/>
          <w:szCs w:val="24"/>
          <w:lang w:val="ro-RO"/>
        </w:rPr>
        <w:t xml:space="preserve"> ale proiectului (inclusiv cercetare-dezvoltare), după cum urmează</w:t>
      </w:r>
      <w:r w:rsidR="007D3699" w:rsidRPr="005D69ED">
        <w:rPr>
          <w:rFonts w:asciiTheme="minorHAnsi" w:eastAsia="Times New Roman" w:hAnsiTheme="minorHAnsi" w:cstheme="minorHAnsi"/>
          <w:szCs w:val="24"/>
          <w:lang w:val="ro-RO"/>
        </w:rPr>
        <w:t>:</w:t>
      </w:r>
    </w:p>
    <w:p w14:paraId="4B42ABC5" w14:textId="6EEA404F" w:rsidR="002C23F9" w:rsidRPr="005D69ED" w:rsidRDefault="002C23F9" w:rsidP="0059765D">
      <w:pPr>
        <w:pStyle w:val="ListParagraph"/>
        <w:numPr>
          <w:ilvl w:val="1"/>
          <w:numId w:val="12"/>
        </w:numPr>
        <w:spacing w:after="0"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Cheltuieli pentru achiziţia de active necorporale necesare pentru introducerea rezultatelor cercetării în ciclul productiv (altele decât cele inițiale de la care a pornit proiectul</w:t>
      </w:r>
      <w:r w:rsidR="00686D04" w:rsidRPr="005D69ED">
        <w:rPr>
          <w:rFonts w:asciiTheme="minorHAnsi" w:eastAsia="Times New Roman" w:hAnsiTheme="minorHAnsi" w:cstheme="minorHAnsi"/>
          <w:szCs w:val="24"/>
          <w:lang w:val="ro-RO"/>
        </w:rPr>
        <w:t xml:space="preserve">, demonstrate pentru condiția </w:t>
      </w:r>
      <w:r w:rsidR="00637081" w:rsidRPr="005D69ED">
        <w:rPr>
          <w:rFonts w:asciiTheme="minorHAnsi" w:eastAsia="Times New Roman" w:hAnsiTheme="minorHAnsi" w:cstheme="minorHAnsi"/>
          <w:szCs w:val="24"/>
          <w:lang w:val="ro-RO"/>
        </w:rPr>
        <w:t>de eligibilitate</w:t>
      </w:r>
      <w:r w:rsidRPr="005D69ED">
        <w:rPr>
          <w:rFonts w:asciiTheme="minorHAnsi" w:eastAsia="Times New Roman" w:hAnsiTheme="minorHAnsi" w:cstheme="minorHAnsi"/>
          <w:szCs w:val="24"/>
          <w:lang w:val="ro-RO"/>
        </w:rPr>
        <w:t>)</w:t>
      </w:r>
      <w:r w:rsidR="007D3699" w:rsidRPr="005D69ED">
        <w:rPr>
          <w:rFonts w:asciiTheme="minorHAnsi" w:eastAsia="Times New Roman" w:hAnsiTheme="minorHAnsi" w:cstheme="minorHAnsi"/>
          <w:szCs w:val="24"/>
          <w:lang w:val="ro-RO"/>
        </w:rPr>
        <w:t>, în cuantum de</w:t>
      </w:r>
      <w:r w:rsidRPr="005D69ED">
        <w:rPr>
          <w:rFonts w:asciiTheme="minorHAnsi" w:eastAsia="Times New Roman" w:hAnsiTheme="minorHAnsi" w:cstheme="minorHAnsi"/>
          <w:szCs w:val="24"/>
          <w:lang w:val="ro-RO"/>
        </w:rPr>
        <w:t xml:space="preserve"> maxim 10% din totalul </w:t>
      </w:r>
      <w:sdt>
        <w:sdtPr>
          <w:rPr>
            <w:rFonts w:asciiTheme="minorHAnsi" w:hAnsiTheme="minorHAnsi" w:cstheme="minorHAnsi"/>
            <w:lang w:val="ro-RO"/>
          </w:rPr>
          <w:tag w:val="goog_rdk_0"/>
          <w:id w:val="167761115"/>
        </w:sdtPr>
        <w:sdtEndPr/>
        <w:sdtContent/>
      </w:sdt>
      <w:sdt>
        <w:sdtPr>
          <w:rPr>
            <w:rFonts w:asciiTheme="minorHAnsi" w:hAnsiTheme="minorHAnsi" w:cstheme="minorHAnsi"/>
            <w:lang w:val="ro-RO"/>
          </w:rPr>
          <w:tag w:val="goog_rdk_1"/>
          <w:id w:val="1198652703"/>
        </w:sdtPr>
        <w:sdtEndPr/>
        <w:sdtContent/>
      </w:sdt>
      <w:r w:rsidRPr="005D69ED">
        <w:rPr>
          <w:rFonts w:asciiTheme="minorHAnsi" w:eastAsia="Times New Roman" w:hAnsiTheme="minorHAnsi" w:cstheme="minorHAnsi"/>
          <w:szCs w:val="24"/>
          <w:lang w:val="ro-RO"/>
        </w:rPr>
        <w:t xml:space="preserve">cheltuielilor de la lit. </w:t>
      </w:r>
      <w:r w:rsidR="002413A7" w:rsidRPr="005D69ED">
        <w:rPr>
          <w:rFonts w:asciiTheme="minorHAnsi" w:eastAsia="Times New Roman" w:hAnsiTheme="minorHAnsi" w:cstheme="minorHAnsi"/>
          <w:szCs w:val="24"/>
          <w:lang w:val="ro-RO"/>
        </w:rPr>
        <w:t>b</w:t>
      </w:r>
      <w:r w:rsidRPr="005D69ED">
        <w:rPr>
          <w:rFonts w:asciiTheme="minorHAnsi" w:eastAsia="Times New Roman" w:hAnsiTheme="minorHAnsi" w:cstheme="minorHAnsi"/>
          <w:szCs w:val="24"/>
          <w:lang w:val="ro-RO"/>
        </w:rPr>
        <w:t>)</w:t>
      </w:r>
      <w:r w:rsidR="007D3699" w:rsidRPr="005D69ED">
        <w:rPr>
          <w:rFonts w:asciiTheme="minorHAnsi" w:eastAsia="Times New Roman" w:hAnsiTheme="minorHAnsi" w:cstheme="minorHAnsi"/>
          <w:szCs w:val="24"/>
          <w:lang w:val="ro-RO"/>
        </w:rPr>
        <w:t>:</w:t>
      </w:r>
    </w:p>
    <w:p w14:paraId="57C48992" w14:textId="77777777" w:rsidR="002C23F9" w:rsidRPr="005D69ED" w:rsidRDefault="002C23F9" w:rsidP="0059765D">
      <w:pPr>
        <w:widowControl/>
        <w:numPr>
          <w:ilvl w:val="0"/>
          <w:numId w:val="19"/>
        </w:numPr>
        <w:spacing w:line="276" w:lineRule="auto"/>
        <w:contextualSpacing/>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Brevete.</w:t>
      </w:r>
    </w:p>
    <w:p w14:paraId="29DE7A2F" w14:textId="77777777" w:rsidR="002C23F9" w:rsidRPr="005D69ED" w:rsidRDefault="002C23F9" w:rsidP="0059765D">
      <w:pPr>
        <w:widowControl/>
        <w:numPr>
          <w:ilvl w:val="0"/>
          <w:numId w:val="19"/>
        </w:numPr>
        <w:spacing w:line="276" w:lineRule="auto"/>
        <w:contextualSpacing/>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Drepturi de utilizare, etc</w:t>
      </w:r>
    </w:p>
    <w:p w14:paraId="5702363D" w14:textId="77777777" w:rsidR="002C23F9" w:rsidRPr="005D69ED" w:rsidRDefault="002C23F9" w:rsidP="0059765D">
      <w:pPr>
        <w:pStyle w:val="ListParagraph"/>
        <w:numPr>
          <w:ilvl w:val="1"/>
          <w:numId w:val="12"/>
        </w:numPr>
        <w:spacing w:after="0"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Cheltuieli pentru achiziţia de utilaje, instalații şi echipamente strict necesare pentru introducerea rezultatelor cercetării în ciclul productiv</w:t>
      </w:r>
      <w:r w:rsidR="007D3699" w:rsidRPr="005D69ED">
        <w:rPr>
          <w:rFonts w:asciiTheme="minorHAnsi" w:eastAsia="Times New Roman" w:hAnsiTheme="minorHAnsi" w:cstheme="minorHAnsi"/>
          <w:szCs w:val="24"/>
          <w:lang w:val="ro-RO"/>
        </w:rPr>
        <w:t>:</w:t>
      </w:r>
    </w:p>
    <w:p w14:paraId="0AE7A1D9" w14:textId="77777777" w:rsidR="002C23F9" w:rsidRPr="005D69ED" w:rsidRDefault="002C23F9" w:rsidP="0059765D">
      <w:pPr>
        <w:widowControl/>
        <w:numPr>
          <w:ilvl w:val="2"/>
          <w:numId w:val="12"/>
        </w:numPr>
        <w:spacing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 xml:space="preserve">Echipamentele achiziționate pentru activități de cercetare-dezvoltare, dar care sunt necesare și justificate în activitatea de punere în producție, pot fi </w:t>
      </w:r>
      <w:r w:rsidR="00CB0D71" w:rsidRPr="005D69ED">
        <w:rPr>
          <w:rFonts w:asciiTheme="minorHAnsi" w:eastAsia="Times New Roman" w:hAnsiTheme="minorHAnsi" w:cstheme="minorHAnsi"/>
          <w:szCs w:val="24"/>
          <w:lang w:val="ro-RO"/>
        </w:rPr>
        <w:t>încadrate în funcție de activitatea unde au utilizarea cea mai ridicată</w:t>
      </w:r>
      <w:r w:rsidRPr="005D69ED">
        <w:rPr>
          <w:rFonts w:asciiTheme="minorHAnsi" w:eastAsia="Times New Roman" w:hAnsiTheme="minorHAnsi" w:cstheme="minorHAnsi"/>
          <w:szCs w:val="24"/>
          <w:lang w:val="ro-RO"/>
        </w:rPr>
        <w:t>.</w:t>
      </w:r>
    </w:p>
    <w:p w14:paraId="7338B395" w14:textId="77777777" w:rsidR="002C23F9" w:rsidRPr="005D69ED" w:rsidRDefault="002C23F9" w:rsidP="0059765D">
      <w:pPr>
        <w:widowControl/>
        <w:numPr>
          <w:ilvl w:val="1"/>
          <w:numId w:val="12"/>
        </w:numPr>
        <w:spacing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 xml:space="preserve">Cheltuieli cu achiziționarea de echipamente tehnologice, utilaje, instalații de lucru, mobilier, echipamente informatice, birotică, de natura mijloacelor fixe, respectiv care se regăsesc în subgrupa 2.1 "Echipamente tehnologice (mașini, utilaje și instalații de lucru)", subgrupa 2.2 "Aparate și instalații de măsurare, control și reglare", clasa 2.3.6 "Utilaje și instalații de transportat și ridicat", sau grupa 3 </w:t>
      </w:r>
      <w:r w:rsidRPr="005D69ED">
        <w:rPr>
          <w:rFonts w:asciiTheme="minorHAnsi" w:eastAsia="Times New Roman" w:hAnsiTheme="minorHAnsi" w:cstheme="minorHAnsi"/>
          <w:szCs w:val="24"/>
          <w:lang w:val="ro-RO"/>
        </w:rPr>
        <w:lastRenderedPageBreak/>
        <w:t>"Mobilier, aparatură birotică, sisteme de protecție a valorilor umane și materiale și alte active corporale" enumerate în anexa la Hotărârea Guvernului nr. 2.139/2004 pentru aprobarea Catalogului privind clasificarea și duratele normale de funcționare a mijloacelor f</w:t>
      </w:r>
      <w:r w:rsidR="00CB0D71" w:rsidRPr="005D69ED">
        <w:rPr>
          <w:rFonts w:asciiTheme="minorHAnsi" w:eastAsia="Times New Roman" w:hAnsiTheme="minorHAnsi" w:cstheme="minorHAnsi"/>
          <w:szCs w:val="24"/>
          <w:lang w:val="ro-RO"/>
        </w:rPr>
        <w:t>ixe, cu modificările ulterioare</w:t>
      </w:r>
      <w:r w:rsidRPr="005D69ED">
        <w:rPr>
          <w:rFonts w:asciiTheme="minorHAnsi" w:eastAsia="Times New Roman" w:hAnsiTheme="minorHAnsi" w:cstheme="minorHAnsi"/>
          <w:szCs w:val="24"/>
          <w:lang w:val="ro-RO"/>
        </w:rPr>
        <w:t>;</w:t>
      </w:r>
    </w:p>
    <w:p w14:paraId="614E4C58" w14:textId="1130FA5E" w:rsidR="009023F5" w:rsidRPr="005D69ED" w:rsidRDefault="002C23F9" w:rsidP="0059765D">
      <w:pPr>
        <w:widowControl/>
        <w:numPr>
          <w:ilvl w:val="1"/>
          <w:numId w:val="12"/>
        </w:numPr>
        <w:spacing w:after="200"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 xml:space="preserve">Cheltuieli cu închirierea unor spații pentru </w:t>
      </w:r>
      <w:r w:rsidR="009023F5" w:rsidRPr="005D69ED">
        <w:rPr>
          <w:rFonts w:asciiTheme="minorHAnsi" w:eastAsia="Times New Roman" w:hAnsiTheme="minorHAnsi" w:cstheme="minorHAnsi"/>
          <w:szCs w:val="24"/>
          <w:lang w:val="ro-RO"/>
        </w:rPr>
        <w:t>activitățile aferente Componentei 2</w:t>
      </w:r>
      <w:r w:rsidR="00637081" w:rsidRPr="005D69ED">
        <w:rPr>
          <w:rFonts w:asciiTheme="minorHAnsi" w:eastAsia="Times New Roman" w:hAnsiTheme="minorHAnsi" w:cstheme="minorHAnsi"/>
          <w:szCs w:val="24"/>
          <w:lang w:val="ro-RO"/>
        </w:rPr>
        <w:t xml:space="preserve"> constituite ca locație de implementare a proiectului, în măsura şi pe durata utilizării acestora pentru activitățile aferente Componentei 2</w:t>
      </w:r>
      <w:r w:rsidR="00014D21" w:rsidRPr="005D69ED">
        <w:rPr>
          <w:rFonts w:asciiTheme="minorHAnsi" w:eastAsia="Times New Roman" w:hAnsiTheme="minorHAnsi" w:cstheme="minorHAnsi"/>
          <w:szCs w:val="24"/>
          <w:lang w:val="ro-RO"/>
        </w:rPr>
        <w:t>;</w:t>
      </w:r>
    </w:p>
    <w:p w14:paraId="625D1AD7" w14:textId="77777777" w:rsidR="00637081" w:rsidRPr="005D69ED" w:rsidRDefault="00637081" w:rsidP="0059765D">
      <w:pPr>
        <w:widowControl/>
        <w:numPr>
          <w:ilvl w:val="1"/>
          <w:numId w:val="12"/>
        </w:numPr>
        <w:spacing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Cheltuieli pentru proiectare și asistență tehnică a lucrărilor(capitolul 3 din devizul general conform HG 907/2016)</w:t>
      </w:r>
    </w:p>
    <w:p w14:paraId="0076CAD8" w14:textId="35FDF6FE" w:rsidR="00637081" w:rsidRPr="005D69ED" w:rsidRDefault="00637081" w:rsidP="0059765D">
      <w:pPr>
        <w:pStyle w:val="ListParagraph"/>
        <w:numPr>
          <w:ilvl w:val="2"/>
          <w:numId w:val="12"/>
        </w:numPr>
        <w:spacing w:after="200"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cheltuieli privind studii de teren - acestea includ cheltuieli cu privire la studii geotehnice, geologice, hidrologice, hidro-geotehnice, fotogrammetrice, topografice și de stabilitate ale terenului pe care se amplasează obiectivul de investiție; sunt eligibile doar cheltuielile legate direct și într-o proporție de până la 5% din cheltuielile de la b) vi.4 și 6;</w:t>
      </w:r>
    </w:p>
    <w:p w14:paraId="68506076" w14:textId="47D37912" w:rsidR="00637081" w:rsidRPr="005D69ED" w:rsidRDefault="00637081" w:rsidP="0059765D">
      <w:pPr>
        <w:pStyle w:val="ListParagraph"/>
        <w:numPr>
          <w:ilvl w:val="2"/>
          <w:numId w:val="12"/>
        </w:numPr>
        <w:spacing w:after="200"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cheltuieli privind obținerea de avize, acorduri și autorizații - acestea includ cheltuieli cu privire la obținerea/prelungirea valabilității certificatului de urbanism, obținerea/prelungirea valabilității autorizației de construire/desființare, obținerea avizelor și acordurilor pentru racorduri și branșamente la rețele publice de apă, canalizare, gaze, termoficare, energie electrică, telefonie etc., obținerea certificatului de nomenclatură stradală și adresă, întocmirea documentației, obținerea numărului cadastral provizoriu și înregistrarea terenului în cartea funciară; obținerea acordului de mediu; obținerea avizului P.S.I.; comisioane, cote și taxe, cuprinzând cota aferentă Inspectoratului de Stat în Construcții pentru controlul calității lucrărilor de construcții, cota pentru controlul statului în amenajarea teritoriului, urbanism și pentru autorizarea lucrărilor de construcții, cota aferentă Casei Sociale a Constructorilor, taxe pentru acorduri, avize și autorizația de construire/desființare; achiziționarea semnăturii electronice; alte avize, acorduri și autorizații; sunt eligibile doar cheltuielile legate direct și într-o proporție de până la 5% din cheltuielile de la b) vi.4 și 6;</w:t>
      </w:r>
    </w:p>
    <w:p w14:paraId="6E917E36" w14:textId="0B63D25A" w:rsidR="00637081" w:rsidRPr="005D69ED" w:rsidRDefault="00637081" w:rsidP="0059765D">
      <w:pPr>
        <w:pStyle w:val="ListParagraph"/>
        <w:numPr>
          <w:ilvl w:val="2"/>
          <w:numId w:val="12"/>
        </w:numPr>
        <w:spacing w:after="200"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 xml:space="preserve">cheltuieli privind proiectarea, asistență tehnică și ingineria - acestea includ cheltuielile pentru elaborarea documentațiilor necesare obținerii acordurilor, avizelor și autorizațiilor aferente obiectivului de investiție (documentații ce stau la baza emiterii avizelor și acordurilor impuse prin certificatul de urbanism, documentații urbanistice, studii de impact, studii/expertize de amplasament, studii de trafic etc.). Sunt eligibile doar </w:t>
      </w:r>
      <w:r w:rsidRPr="005D69ED">
        <w:rPr>
          <w:rFonts w:asciiTheme="minorHAnsi" w:eastAsia="Times New Roman" w:hAnsiTheme="minorHAnsi" w:cstheme="minorHAnsi"/>
          <w:szCs w:val="24"/>
          <w:lang w:val="ro-RO"/>
        </w:rPr>
        <w:lastRenderedPageBreak/>
        <w:t>cheltuielile legate direct și într-o proporție de până la 5% din cheltuielile de la b) vi.4 și 6;</w:t>
      </w:r>
    </w:p>
    <w:p w14:paraId="13D3B77E" w14:textId="77777777" w:rsidR="002C23F9" w:rsidRPr="005D69ED" w:rsidRDefault="002C23F9" w:rsidP="0059765D">
      <w:pPr>
        <w:widowControl/>
        <w:numPr>
          <w:ilvl w:val="1"/>
          <w:numId w:val="12"/>
        </w:numPr>
        <w:spacing w:after="200"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Cheltuieli cu lucrările pentru co</w:t>
      </w:r>
      <w:r w:rsidR="00CB0D71" w:rsidRPr="005D69ED">
        <w:rPr>
          <w:rFonts w:asciiTheme="minorHAnsi" w:eastAsia="Times New Roman" w:hAnsiTheme="minorHAnsi" w:cstheme="minorHAnsi"/>
          <w:szCs w:val="24"/>
          <w:lang w:val="ro-RO"/>
        </w:rPr>
        <w:t>nstruirea/extinderea/modernizare</w:t>
      </w:r>
      <w:r w:rsidRPr="005D69ED">
        <w:rPr>
          <w:rFonts w:asciiTheme="minorHAnsi" w:eastAsia="Times New Roman" w:hAnsiTheme="minorHAnsi" w:cstheme="minorHAnsi"/>
          <w:szCs w:val="24"/>
          <w:lang w:val="ro-RO"/>
        </w:rPr>
        <w:t>a</w:t>
      </w:r>
      <w:r w:rsidR="00382817" w:rsidRPr="005D69ED">
        <w:rPr>
          <w:rFonts w:asciiTheme="minorHAnsi" w:eastAsia="Times New Roman" w:hAnsiTheme="minorHAnsi" w:cstheme="minorHAnsi"/>
          <w:szCs w:val="24"/>
          <w:lang w:val="ro-RO"/>
        </w:rPr>
        <w:t xml:space="preserve"> clădirii destinate activităților aferente Componentei 2</w:t>
      </w:r>
      <w:r w:rsidR="007D3699" w:rsidRPr="005D69ED">
        <w:rPr>
          <w:rFonts w:asciiTheme="minorHAnsi" w:eastAsia="Times New Roman" w:hAnsiTheme="minorHAnsi" w:cstheme="minorHAnsi"/>
          <w:szCs w:val="24"/>
          <w:lang w:val="ro-RO"/>
        </w:rPr>
        <w:t>:</w:t>
      </w:r>
    </w:p>
    <w:p w14:paraId="1D7B80C8" w14:textId="74C822C1" w:rsidR="00C52EE9" w:rsidRPr="005D69ED" w:rsidRDefault="002C23F9" w:rsidP="0059765D">
      <w:pPr>
        <w:pStyle w:val="ListParagraph"/>
        <w:numPr>
          <w:ilvl w:val="2"/>
          <w:numId w:val="3"/>
        </w:numPr>
        <w:spacing w:after="200" w:line="276" w:lineRule="auto"/>
        <w:ind w:left="1800"/>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Cheltuieli pentru amenajarea terenului</w:t>
      </w:r>
      <w:r w:rsidR="00B0328C" w:rsidRPr="005D69ED">
        <w:rPr>
          <w:rFonts w:asciiTheme="minorHAnsi" w:eastAsia="Times New Roman" w:hAnsiTheme="minorHAnsi" w:cstheme="minorHAnsi"/>
          <w:szCs w:val="24"/>
          <w:lang w:val="ro-RO"/>
        </w:rPr>
        <w:t>; sunt eligibile doar cheltuielile legate direct</w:t>
      </w:r>
      <w:r w:rsidR="00014D21" w:rsidRPr="005D69ED">
        <w:rPr>
          <w:rFonts w:asciiTheme="minorHAnsi" w:eastAsia="Times New Roman" w:hAnsiTheme="minorHAnsi" w:cstheme="minorHAnsi"/>
          <w:szCs w:val="24"/>
          <w:lang w:val="ro-RO"/>
        </w:rPr>
        <w:t xml:space="preserve"> și</w:t>
      </w:r>
      <w:r w:rsidR="00DB017E" w:rsidRPr="005D69ED">
        <w:rPr>
          <w:rFonts w:asciiTheme="minorHAnsi" w:eastAsia="Times New Roman" w:hAnsiTheme="minorHAnsi" w:cstheme="minorHAnsi"/>
          <w:szCs w:val="24"/>
          <w:lang w:val="ro-RO"/>
        </w:rPr>
        <w:t xml:space="preserve"> într-o proporție de până la</w:t>
      </w:r>
      <w:r w:rsidR="009023F5" w:rsidRPr="005D69ED">
        <w:rPr>
          <w:rFonts w:asciiTheme="minorHAnsi" w:eastAsia="Times New Roman" w:hAnsiTheme="minorHAnsi" w:cstheme="minorHAnsi"/>
          <w:szCs w:val="24"/>
          <w:lang w:val="ro-RO"/>
        </w:rPr>
        <w:t xml:space="preserve"> 10%</w:t>
      </w:r>
      <w:r w:rsidR="003A5F38" w:rsidRPr="005D69ED">
        <w:rPr>
          <w:rFonts w:asciiTheme="minorHAnsi" w:eastAsia="Times New Roman" w:hAnsiTheme="minorHAnsi" w:cstheme="minorHAnsi"/>
          <w:szCs w:val="24"/>
          <w:lang w:val="ro-RO"/>
        </w:rPr>
        <w:t xml:space="preserve"> din </w:t>
      </w:r>
      <w:r w:rsidR="00014D21" w:rsidRPr="005D69ED">
        <w:rPr>
          <w:rFonts w:asciiTheme="minorHAnsi" w:eastAsia="Times New Roman" w:hAnsiTheme="minorHAnsi" w:cstheme="minorHAnsi"/>
          <w:szCs w:val="24"/>
          <w:lang w:val="ro-RO"/>
        </w:rPr>
        <w:t xml:space="preserve">de cheltuielile </w:t>
      </w:r>
      <w:r w:rsidR="00637081" w:rsidRPr="005D69ED">
        <w:rPr>
          <w:rFonts w:asciiTheme="minorHAnsi" w:eastAsia="Times New Roman" w:hAnsiTheme="minorHAnsi" w:cstheme="minorHAnsi"/>
          <w:szCs w:val="24"/>
          <w:lang w:val="ro-RO"/>
        </w:rPr>
        <w:t>de la b) vi.4 și 6</w:t>
      </w:r>
      <w:r w:rsidR="00C52EE9" w:rsidRPr="005D69ED">
        <w:rPr>
          <w:rFonts w:asciiTheme="minorHAnsi" w:eastAsia="Times New Roman" w:hAnsiTheme="minorHAnsi" w:cstheme="minorHAnsi"/>
          <w:szCs w:val="24"/>
          <w:lang w:val="ro-RO"/>
        </w:rPr>
        <w:t xml:space="preserve">. </w:t>
      </w:r>
      <w:r w:rsidRPr="005D69ED">
        <w:rPr>
          <w:rFonts w:asciiTheme="minorHAnsi" w:eastAsia="Times New Roman" w:hAnsiTheme="minorHAnsi" w:cstheme="minorHAnsi"/>
          <w:szCs w:val="24"/>
          <w:lang w:val="ro-RO"/>
        </w:rPr>
        <w:t xml:space="preserve">Se includ cheltuielile efectuate la începutul lucrărilor pentru pregătirea amplasamentului şi care constau în demolări, demontări, dezafectări, defrişări, evacuări materiale rezultate, devieri reţele de utilităţi din amplasament, sistematizări pe </w:t>
      </w:r>
      <w:r w:rsidR="00DB017E" w:rsidRPr="005D69ED">
        <w:rPr>
          <w:rFonts w:asciiTheme="minorHAnsi" w:eastAsia="Times New Roman" w:hAnsiTheme="minorHAnsi" w:cstheme="minorHAnsi"/>
          <w:szCs w:val="24"/>
          <w:lang w:val="ro-RO"/>
        </w:rPr>
        <w:t>verticală, drenaje, echipamente.</w:t>
      </w:r>
    </w:p>
    <w:p w14:paraId="260827A3" w14:textId="5EC4A4ED" w:rsidR="00C52EE9" w:rsidRPr="005D69ED" w:rsidRDefault="002C23F9" w:rsidP="0059765D">
      <w:pPr>
        <w:pStyle w:val="ListParagraph"/>
        <w:numPr>
          <w:ilvl w:val="2"/>
          <w:numId w:val="3"/>
        </w:numPr>
        <w:spacing w:after="200" w:line="276" w:lineRule="auto"/>
        <w:ind w:left="1800"/>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Cheltuieli cu amenajări pentru protecţia mediului şi aducerea la starea iniţială pentru activităţile de investitii</w:t>
      </w:r>
      <w:r w:rsidR="00B0328C" w:rsidRPr="005D69ED">
        <w:rPr>
          <w:rFonts w:asciiTheme="minorHAnsi" w:eastAsia="Times New Roman" w:hAnsiTheme="minorHAnsi" w:cstheme="minorHAnsi"/>
          <w:szCs w:val="24"/>
          <w:lang w:val="ro-RO"/>
        </w:rPr>
        <w:t>; sunt eligibile doar cheltuielile legate direct de</w:t>
      </w:r>
      <w:r w:rsidR="00014D21" w:rsidRPr="005D69ED">
        <w:rPr>
          <w:rFonts w:asciiTheme="minorHAnsi" w:eastAsia="Times New Roman" w:hAnsiTheme="minorHAnsi" w:cstheme="minorHAnsi"/>
          <w:szCs w:val="24"/>
          <w:lang w:val="ro-RO"/>
        </w:rPr>
        <w:t xml:space="preserve"> și</w:t>
      </w:r>
      <w:r w:rsidR="00BD782C" w:rsidRPr="005D69ED">
        <w:rPr>
          <w:rFonts w:asciiTheme="minorHAnsi" w:eastAsia="Times New Roman" w:hAnsiTheme="minorHAnsi" w:cstheme="minorHAnsi"/>
          <w:szCs w:val="24"/>
          <w:lang w:val="ro-RO"/>
        </w:rPr>
        <w:t xml:space="preserve"> </w:t>
      </w:r>
      <w:r w:rsidR="00DB017E" w:rsidRPr="005D69ED">
        <w:rPr>
          <w:rFonts w:asciiTheme="minorHAnsi" w:eastAsia="Times New Roman" w:hAnsiTheme="minorHAnsi" w:cstheme="minorHAnsi"/>
          <w:szCs w:val="24"/>
          <w:lang w:val="ro-RO"/>
        </w:rPr>
        <w:t xml:space="preserve">într-o proporție de până la </w:t>
      </w:r>
      <w:r w:rsidR="00414A85" w:rsidRPr="005D69ED">
        <w:rPr>
          <w:rFonts w:asciiTheme="minorHAnsi" w:eastAsia="Times New Roman" w:hAnsiTheme="minorHAnsi" w:cstheme="minorHAnsi"/>
          <w:szCs w:val="24"/>
          <w:lang w:val="ro-RO"/>
        </w:rPr>
        <w:t>10%</w:t>
      </w:r>
      <w:r w:rsidR="003A5F38" w:rsidRPr="005D69ED">
        <w:rPr>
          <w:rFonts w:asciiTheme="minorHAnsi" w:eastAsia="Times New Roman" w:hAnsiTheme="minorHAnsi" w:cstheme="minorHAnsi"/>
          <w:szCs w:val="24"/>
          <w:lang w:val="ro-RO"/>
        </w:rPr>
        <w:t xml:space="preserve"> din </w:t>
      </w:r>
      <w:r w:rsidR="00BB6DB4" w:rsidRPr="005D69ED">
        <w:rPr>
          <w:rFonts w:asciiTheme="minorHAnsi" w:eastAsia="Times New Roman" w:hAnsiTheme="minorHAnsi" w:cstheme="minorHAnsi"/>
          <w:szCs w:val="24"/>
          <w:lang w:val="ro-RO"/>
        </w:rPr>
        <w:t xml:space="preserve">cheltuielile </w:t>
      </w:r>
      <w:r w:rsidR="00637081" w:rsidRPr="005D69ED">
        <w:rPr>
          <w:rFonts w:asciiTheme="minorHAnsi" w:eastAsia="Times New Roman" w:hAnsiTheme="minorHAnsi" w:cstheme="minorHAnsi"/>
          <w:szCs w:val="24"/>
          <w:lang w:val="ro-RO"/>
        </w:rPr>
        <w:t>de la b) vi.4 și 6</w:t>
      </w:r>
      <w:r w:rsidR="00C52EE9" w:rsidRPr="005D69ED">
        <w:rPr>
          <w:rFonts w:asciiTheme="minorHAnsi" w:eastAsia="Times New Roman" w:hAnsiTheme="minorHAnsi" w:cstheme="minorHAnsi"/>
          <w:szCs w:val="24"/>
          <w:lang w:val="ro-RO"/>
        </w:rPr>
        <w:t xml:space="preserve">. </w:t>
      </w:r>
      <w:r w:rsidRPr="005D69ED">
        <w:rPr>
          <w:rFonts w:asciiTheme="minorHAnsi" w:eastAsia="Times New Roman" w:hAnsiTheme="minorHAnsi" w:cstheme="minorHAnsi"/>
          <w:szCs w:val="24"/>
          <w:lang w:val="ro-RO"/>
        </w:rPr>
        <w:t>Se includ cheltuieli efectuate pentru lucrări şi acţiuni de protecţia mediului şi, inclusiv pentru refacerea cadrului natural după terminarea lucrărilor, precum plantare de copaci şi reamenajarea spaţiilor verzi.</w:t>
      </w:r>
    </w:p>
    <w:p w14:paraId="21E56DC9" w14:textId="03183942" w:rsidR="00C52EE9" w:rsidRPr="005D69ED" w:rsidRDefault="002C23F9" w:rsidP="0059765D">
      <w:pPr>
        <w:pStyle w:val="ListParagraph"/>
        <w:numPr>
          <w:ilvl w:val="2"/>
          <w:numId w:val="3"/>
        </w:numPr>
        <w:spacing w:after="200" w:line="276" w:lineRule="auto"/>
        <w:ind w:left="1800"/>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Cheltuielile eligibile pentru asigurarea utilităţilor necesare funcţionării obiectivului de investiţie includ cheltuielile precum: alimentare cu apă, canalizare, alimentare cu gaze naturale, agent termic, energie electrică, telecomunicaţii, care se execută pe amplasamentul obiectivului de investiţie delimitat din punct de vedere juridic, precum şi cheltuielile aferente racordării la reţelele de utilităţi.</w:t>
      </w:r>
      <w:r w:rsidR="00414A85" w:rsidRPr="005D69ED">
        <w:rPr>
          <w:rFonts w:asciiTheme="minorHAnsi" w:eastAsia="Times New Roman" w:hAnsiTheme="minorHAnsi" w:cstheme="minorHAnsi"/>
          <w:szCs w:val="24"/>
          <w:lang w:val="ro-RO"/>
        </w:rPr>
        <w:t xml:space="preserve"> </w:t>
      </w:r>
      <w:r w:rsidR="00B0328C" w:rsidRPr="005D69ED">
        <w:rPr>
          <w:rFonts w:asciiTheme="minorHAnsi" w:eastAsia="Times New Roman" w:hAnsiTheme="minorHAnsi" w:cstheme="minorHAnsi"/>
          <w:szCs w:val="24"/>
          <w:lang w:val="ro-RO"/>
        </w:rPr>
        <w:t xml:space="preserve">Sunt eligibile doar cheltuielile </w:t>
      </w:r>
      <w:r w:rsidR="00014D21" w:rsidRPr="005D69ED">
        <w:rPr>
          <w:rFonts w:asciiTheme="minorHAnsi" w:eastAsia="Times New Roman" w:hAnsiTheme="minorHAnsi" w:cstheme="minorHAnsi"/>
          <w:szCs w:val="24"/>
          <w:lang w:val="ro-RO"/>
        </w:rPr>
        <w:t>legate direct</w:t>
      </w:r>
      <w:r w:rsidR="00BB6DB4" w:rsidRPr="005D69ED">
        <w:rPr>
          <w:rFonts w:asciiTheme="minorHAnsi" w:eastAsia="Times New Roman" w:hAnsiTheme="minorHAnsi" w:cstheme="minorHAnsi"/>
          <w:szCs w:val="24"/>
          <w:lang w:val="ro-RO"/>
        </w:rPr>
        <w:t xml:space="preserve"> și </w:t>
      </w:r>
      <w:r w:rsidR="00DB017E" w:rsidRPr="005D69ED">
        <w:rPr>
          <w:rFonts w:asciiTheme="minorHAnsi" w:eastAsia="Times New Roman" w:hAnsiTheme="minorHAnsi" w:cstheme="minorHAnsi"/>
          <w:szCs w:val="24"/>
          <w:lang w:val="ro-RO"/>
        </w:rPr>
        <w:t xml:space="preserve">într-o proporție de până la </w:t>
      </w:r>
      <w:r w:rsidR="00414A85" w:rsidRPr="005D69ED">
        <w:rPr>
          <w:rFonts w:asciiTheme="minorHAnsi" w:eastAsia="Times New Roman" w:hAnsiTheme="minorHAnsi" w:cstheme="minorHAnsi"/>
          <w:szCs w:val="24"/>
          <w:lang w:val="ro-RO"/>
        </w:rPr>
        <w:t>10%</w:t>
      </w:r>
      <w:r w:rsidR="003A5F38" w:rsidRPr="005D69ED">
        <w:rPr>
          <w:rFonts w:asciiTheme="minorHAnsi" w:eastAsia="Times New Roman" w:hAnsiTheme="minorHAnsi" w:cstheme="minorHAnsi"/>
          <w:szCs w:val="24"/>
          <w:lang w:val="ro-RO"/>
        </w:rPr>
        <w:t xml:space="preserve"> din </w:t>
      </w:r>
      <w:r w:rsidR="00BB6DB4" w:rsidRPr="005D69ED">
        <w:rPr>
          <w:rFonts w:asciiTheme="minorHAnsi" w:eastAsia="Times New Roman" w:hAnsiTheme="minorHAnsi" w:cstheme="minorHAnsi"/>
          <w:szCs w:val="24"/>
          <w:lang w:val="ro-RO"/>
        </w:rPr>
        <w:t xml:space="preserve">cheltuielile </w:t>
      </w:r>
      <w:r w:rsidR="00637081" w:rsidRPr="005D69ED">
        <w:rPr>
          <w:rFonts w:asciiTheme="minorHAnsi" w:eastAsia="Times New Roman" w:hAnsiTheme="minorHAnsi" w:cstheme="minorHAnsi"/>
          <w:szCs w:val="24"/>
          <w:lang w:val="ro-RO"/>
        </w:rPr>
        <w:t>de la b) vi.4 și 6;</w:t>
      </w:r>
    </w:p>
    <w:p w14:paraId="79B17C20" w14:textId="77777777" w:rsidR="00C52EE9" w:rsidRPr="005D69ED" w:rsidRDefault="002C23F9" w:rsidP="0059765D">
      <w:pPr>
        <w:pStyle w:val="ListParagraph"/>
        <w:numPr>
          <w:ilvl w:val="2"/>
          <w:numId w:val="3"/>
        </w:numPr>
        <w:spacing w:after="200" w:line="276" w:lineRule="auto"/>
        <w:ind w:left="1800"/>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cheltuieli pentru construcții și instalații aferente activităților de construire/ extindere/modernizare a infrastructurii de producţie/prestare de servicii, inclusiv a utilităţilor generale aferente, respectiv cheltuielile aferente execuţiei tuturor obiectelor cuprinse în obiectivul de investiţie: clădiri, construcţii speciale, instalaţii aferente construcţiilor, precum instalaţii electrice, sanitare, instalaţii interioare de alimentare cu gaze naturale, instalaţii de încălzire, ventilare, climatizare, P.S.I., telecomunicaţii şi alte tipuri de instalaţii impuse de destinaţia obiectivului;</w:t>
      </w:r>
    </w:p>
    <w:p w14:paraId="28F3DC1A" w14:textId="30040C9A" w:rsidR="00C52EE9" w:rsidRPr="005D69ED" w:rsidRDefault="002C23F9" w:rsidP="0059765D">
      <w:pPr>
        <w:pStyle w:val="ListParagraph"/>
        <w:numPr>
          <w:ilvl w:val="2"/>
          <w:numId w:val="3"/>
        </w:numPr>
        <w:spacing w:after="200" w:line="276" w:lineRule="auto"/>
        <w:ind w:left="1800"/>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Cheltuieli aferente activităților de realizarea de căilor de acces în cadrul imobilului pe care se realizeaza investiția.</w:t>
      </w:r>
      <w:r w:rsidR="00414A85" w:rsidRPr="005D69ED">
        <w:rPr>
          <w:rFonts w:asciiTheme="minorHAnsi" w:eastAsia="Times New Roman" w:hAnsiTheme="minorHAnsi" w:cstheme="minorHAnsi"/>
          <w:szCs w:val="24"/>
          <w:lang w:val="ro-RO"/>
        </w:rPr>
        <w:t xml:space="preserve"> </w:t>
      </w:r>
      <w:r w:rsidR="00B0328C" w:rsidRPr="005D69ED">
        <w:rPr>
          <w:rFonts w:asciiTheme="minorHAnsi" w:eastAsia="Times New Roman" w:hAnsiTheme="minorHAnsi" w:cstheme="minorHAnsi"/>
          <w:szCs w:val="24"/>
          <w:lang w:val="ro-RO"/>
        </w:rPr>
        <w:t xml:space="preserve">Sunt eligibile doar cheltuielile legate direct </w:t>
      </w:r>
      <w:r w:rsidR="00014D21" w:rsidRPr="005D69ED">
        <w:rPr>
          <w:rFonts w:asciiTheme="minorHAnsi" w:eastAsia="Times New Roman" w:hAnsiTheme="minorHAnsi" w:cstheme="minorHAnsi"/>
          <w:szCs w:val="24"/>
          <w:lang w:val="ro-RO"/>
        </w:rPr>
        <w:t xml:space="preserve">și </w:t>
      </w:r>
      <w:r w:rsidR="00DB017E" w:rsidRPr="005D69ED">
        <w:rPr>
          <w:rFonts w:asciiTheme="minorHAnsi" w:eastAsia="Times New Roman" w:hAnsiTheme="minorHAnsi" w:cstheme="minorHAnsi"/>
          <w:szCs w:val="24"/>
          <w:lang w:val="ro-RO"/>
        </w:rPr>
        <w:t xml:space="preserve">într-o proporție de până la </w:t>
      </w:r>
      <w:r w:rsidR="00414A85" w:rsidRPr="005D69ED">
        <w:rPr>
          <w:rFonts w:asciiTheme="minorHAnsi" w:eastAsia="Times New Roman" w:hAnsiTheme="minorHAnsi" w:cstheme="minorHAnsi"/>
          <w:szCs w:val="24"/>
          <w:lang w:val="ro-RO"/>
        </w:rPr>
        <w:t>10%</w:t>
      </w:r>
      <w:r w:rsidR="003A5F38" w:rsidRPr="005D69ED">
        <w:rPr>
          <w:rFonts w:asciiTheme="minorHAnsi" w:eastAsia="Times New Roman" w:hAnsiTheme="minorHAnsi" w:cstheme="minorHAnsi"/>
          <w:szCs w:val="24"/>
          <w:lang w:val="ro-RO"/>
        </w:rPr>
        <w:t xml:space="preserve"> din </w:t>
      </w:r>
      <w:r w:rsidR="00BB6DB4" w:rsidRPr="005D69ED">
        <w:rPr>
          <w:rFonts w:asciiTheme="minorHAnsi" w:eastAsia="Times New Roman" w:hAnsiTheme="minorHAnsi" w:cstheme="minorHAnsi"/>
          <w:szCs w:val="24"/>
          <w:lang w:val="ro-RO"/>
        </w:rPr>
        <w:t xml:space="preserve">cheltuielile </w:t>
      </w:r>
      <w:r w:rsidR="00637081" w:rsidRPr="005D69ED">
        <w:rPr>
          <w:rFonts w:asciiTheme="minorHAnsi" w:eastAsia="Times New Roman" w:hAnsiTheme="minorHAnsi" w:cstheme="minorHAnsi"/>
          <w:szCs w:val="24"/>
          <w:lang w:val="ro-RO"/>
        </w:rPr>
        <w:t>de la b) vi.4 și 6;</w:t>
      </w:r>
    </w:p>
    <w:p w14:paraId="2E4F8A51" w14:textId="6FACA312" w:rsidR="00C52EE9" w:rsidRPr="005D69ED" w:rsidRDefault="00F853FC" w:rsidP="0059765D">
      <w:pPr>
        <w:pStyle w:val="ListParagraph"/>
        <w:numPr>
          <w:ilvl w:val="2"/>
          <w:numId w:val="3"/>
        </w:numPr>
        <w:spacing w:after="200" w:line="276" w:lineRule="auto"/>
        <w:ind w:left="1800"/>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 xml:space="preserve">Cheltuieli cu achiziţionarea de instalaţii/ echipamente specifice şi sisteme care utilizează surse regenerabile/ alternative de energie pentru generarea de </w:t>
      </w:r>
      <w:r w:rsidRPr="005D69ED">
        <w:rPr>
          <w:rFonts w:asciiTheme="minorHAnsi" w:eastAsia="Times New Roman" w:hAnsiTheme="minorHAnsi" w:cstheme="minorHAnsi"/>
          <w:szCs w:val="24"/>
          <w:lang w:val="ro-RO"/>
        </w:rPr>
        <w:lastRenderedPageBreak/>
        <w:t xml:space="preserve">energie, pentru activităţile pentru care s-a solicitat finanţare. </w:t>
      </w:r>
      <w:r w:rsidR="002413A7" w:rsidRPr="005D69ED">
        <w:rPr>
          <w:rFonts w:asciiTheme="minorHAnsi" w:eastAsia="Times New Roman" w:hAnsiTheme="minorHAnsi" w:cstheme="minorHAnsi"/>
          <w:szCs w:val="24"/>
          <w:lang w:val="ro-RO"/>
        </w:rPr>
        <w:t>Sistemele care utilizează surse regenerabile/ alternative de energie pentru generarea de energie sunt</w:t>
      </w:r>
      <w:r w:rsidR="00B0328C" w:rsidRPr="005D69ED">
        <w:rPr>
          <w:rFonts w:asciiTheme="minorHAnsi" w:eastAsia="Times New Roman" w:hAnsiTheme="minorHAnsi" w:cstheme="minorHAnsi"/>
          <w:szCs w:val="24"/>
          <w:lang w:val="ro-RO"/>
        </w:rPr>
        <w:t xml:space="preserve"> eligibile doar</w:t>
      </w:r>
      <w:r w:rsidR="00C13F6A" w:rsidRPr="005D69ED">
        <w:rPr>
          <w:rFonts w:asciiTheme="minorHAnsi" w:eastAsia="Times New Roman" w:hAnsiTheme="minorHAnsi" w:cstheme="minorHAnsi"/>
          <w:szCs w:val="24"/>
          <w:lang w:val="ro-RO"/>
        </w:rPr>
        <w:t xml:space="preserve"> </w:t>
      </w:r>
      <w:r w:rsidR="00DB017E" w:rsidRPr="005D69ED">
        <w:rPr>
          <w:rFonts w:asciiTheme="minorHAnsi" w:eastAsia="Times New Roman" w:hAnsiTheme="minorHAnsi" w:cstheme="minorHAnsi"/>
          <w:szCs w:val="24"/>
          <w:lang w:val="ro-RO"/>
        </w:rPr>
        <w:t xml:space="preserve">într-o proporție de până la </w:t>
      </w:r>
      <w:r w:rsidRPr="005D69ED">
        <w:rPr>
          <w:rFonts w:asciiTheme="minorHAnsi" w:eastAsia="Times New Roman" w:hAnsiTheme="minorHAnsi" w:cstheme="minorHAnsi"/>
          <w:szCs w:val="24"/>
          <w:lang w:val="ro-RO"/>
        </w:rPr>
        <w:t>10%</w:t>
      </w:r>
      <w:r w:rsidR="003A5F38" w:rsidRPr="005D69ED">
        <w:rPr>
          <w:rFonts w:asciiTheme="minorHAnsi" w:eastAsia="Times New Roman" w:hAnsiTheme="minorHAnsi" w:cstheme="minorHAnsi"/>
          <w:szCs w:val="24"/>
          <w:lang w:val="ro-RO"/>
        </w:rPr>
        <w:t xml:space="preserve"> din </w:t>
      </w:r>
      <w:r w:rsidR="002413A7" w:rsidRPr="005D69ED">
        <w:rPr>
          <w:rFonts w:asciiTheme="minorHAnsi" w:eastAsia="Times New Roman" w:hAnsiTheme="minorHAnsi" w:cstheme="minorHAnsi"/>
          <w:szCs w:val="24"/>
          <w:lang w:val="ro-RO"/>
        </w:rPr>
        <w:t xml:space="preserve">cheltuielile </w:t>
      </w:r>
      <w:r w:rsidR="00637081" w:rsidRPr="005D69ED">
        <w:rPr>
          <w:rFonts w:asciiTheme="minorHAnsi" w:eastAsia="Times New Roman" w:hAnsiTheme="minorHAnsi" w:cstheme="minorHAnsi"/>
          <w:szCs w:val="24"/>
          <w:lang w:val="ro-RO"/>
        </w:rPr>
        <w:t>de la b) vi.4 și 6</w:t>
      </w:r>
      <w:r w:rsidR="00C52EE9" w:rsidRPr="005D69ED">
        <w:rPr>
          <w:rFonts w:asciiTheme="minorHAnsi" w:eastAsia="Times New Roman" w:hAnsiTheme="minorHAnsi" w:cstheme="minorHAnsi"/>
          <w:szCs w:val="24"/>
          <w:lang w:val="ro-RO"/>
        </w:rPr>
        <w:t xml:space="preserve">. </w:t>
      </w:r>
      <w:r w:rsidR="002C23F9" w:rsidRPr="005D69ED">
        <w:rPr>
          <w:rFonts w:asciiTheme="minorHAnsi" w:eastAsia="Times New Roman" w:hAnsiTheme="minorHAnsi" w:cstheme="minorHAnsi"/>
          <w:szCs w:val="24"/>
          <w:lang w:val="ro-RO"/>
        </w:rPr>
        <w:t>Se cuprind cheltuielile pentru 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 (cu montaj)</w:t>
      </w:r>
      <w:r w:rsidR="00B0328C" w:rsidRPr="005D69ED">
        <w:rPr>
          <w:rFonts w:asciiTheme="minorHAnsi" w:eastAsia="Times New Roman" w:hAnsiTheme="minorHAnsi" w:cstheme="minorHAnsi"/>
          <w:szCs w:val="24"/>
          <w:lang w:val="ro-RO"/>
        </w:rPr>
        <w:t>;</w:t>
      </w:r>
    </w:p>
    <w:p w14:paraId="7C13B909" w14:textId="23B407C8" w:rsidR="00637081" w:rsidRPr="005D69ED" w:rsidRDefault="002C23F9" w:rsidP="0059765D">
      <w:pPr>
        <w:pStyle w:val="ListParagraph"/>
        <w:numPr>
          <w:ilvl w:val="2"/>
          <w:numId w:val="3"/>
        </w:numPr>
        <w:spacing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Chel</w:t>
      </w:r>
      <w:r w:rsidR="00DB017E" w:rsidRPr="005D69ED">
        <w:rPr>
          <w:rFonts w:asciiTheme="minorHAnsi" w:eastAsia="Times New Roman" w:hAnsiTheme="minorHAnsi" w:cstheme="minorHAnsi"/>
          <w:szCs w:val="24"/>
          <w:lang w:val="ro-RO"/>
        </w:rPr>
        <w:t xml:space="preserve">tuielile diverse şi neprevăzute. </w:t>
      </w:r>
      <w:bookmarkStart w:id="2" w:name="_Hlk130377885"/>
      <w:r w:rsidR="00DB017E" w:rsidRPr="005D69ED">
        <w:rPr>
          <w:rFonts w:asciiTheme="minorHAnsi" w:eastAsia="Times New Roman" w:hAnsiTheme="minorHAnsi" w:cstheme="minorHAnsi"/>
          <w:szCs w:val="24"/>
          <w:lang w:val="ro-RO"/>
        </w:rPr>
        <w:t>Î</w:t>
      </w:r>
      <w:r w:rsidRPr="005D69ED">
        <w:rPr>
          <w:rFonts w:asciiTheme="minorHAnsi" w:eastAsia="Times New Roman" w:hAnsiTheme="minorHAnsi" w:cstheme="minorHAnsi"/>
          <w:szCs w:val="24"/>
          <w:lang w:val="ro-RO"/>
        </w:rPr>
        <w:t>n conformitate cu legislaţia în domeniul achiziţiilor publice ce face referire la modificările contractuale apărute în timpul execuţiei.</w:t>
      </w:r>
      <w:r w:rsidR="00637081" w:rsidRPr="005D69ED">
        <w:rPr>
          <w:rFonts w:asciiTheme="minorHAnsi" w:hAnsiTheme="minorHAnsi" w:cstheme="minorHAnsi"/>
        </w:rPr>
        <w:t xml:space="preserve"> </w:t>
      </w:r>
      <w:r w:rsidR="00637081" w:rsidRPr="005D69ED">
        <w:rPr>
          <w:rFonts w:asciiTheme="minorHAnsi" w:eastAsia="Times New Roman" w:hAnsiTheme="minorHAnsi" w:cstheme="minorHAnsi"/>
          <w:szCs w:val="24"/>
          <w:lang w:val="ro-RO"/>
        </w:rPr>
        <w:t>Cheltuielile diverse şi neprevăzute se estimează procentual, din valoarea cheltuielilor prevăzute la cap./subcap. 1.2, 1.3, 1.4, 2, 3.5, 3.8, 4 ale devizului general cf. HG 907/2016, astfel:</w:t>
      </w:r>
    </w:p>
    <w:p w14:paraId="1BAE7932" w14:textId="00E58267" w:rsidR="00637081" w:rsidRPr="005D69ED" w:rsidRDefault="00637081" w:rsidP="0059765D">
      <w:pPr>
        <w:pStyle w:val="ListParagraph"/>
        <w:spacing w:line="276" w:lineRule="auto"/>
        <w:ind w:left="2160"/>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 xml:space="preserve">  a) 10% în cazul executării unui obiectiv/obiect nou de investiţii;</w:t>
      </w:r>
    </w:p>
    <w:p w14:paraId="3C7A1A18" w14:textId="64007716" w:rsidR="002C23F9" w:rsidRPr="005D69ED" w:rsidRDefault="00637081" w:rsidP="0059765D">
      <w:pPr>
        <w:pStyle w:val="ListParagraph"/>
        <w:spacing w:after="0" w:line="276" w:lineRule="auto"/>
        <w:ind w:left="2160"/>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 xml:space="preserve">  b) 20% în cazul executării lucrărilor de intervenţiei la construcţie existentă.</w:t>
      </w:r>
    </w:p>
    <w:bookmarkEnd w:id="2"/>
    <w:p w14:paraId="3347EE4D" w14:textId="77777777" w:rsidR="002C23F9" w:rsidRPr="005D69ED" w:rsidRDefault="002C23F9" w:rsidP="0059765D">
      <w:pPr>
        <w:pStyle w:val="StyleBefore2ptAfter2ptLinespacingExactly12pt1"/>
        <w:numPr>
          <w:ilvl w:val="1"/>
          <w:numId w:val="12"/>
        </w:numPr>
        <w:spacing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 xml:space="preserve">Cheltuieli aferente activelor necorporale </w:t>
      </w:r>
      <w:r w:rsidR="00EA0E2D" w:rsidRPr="005D69ED">
        <w:rPr>
          <w:rFonts w:asciiTheme="minorHAnsi" w:eastAsia="Times New Roman" w:hAnsiTheme="minorHAnsi" w:cstheme="minorHAnsi"/>
          <w:szCs w:val="24"/>
          <w:lang w:val="ro-RO"/>
        </w:rPr>
        <w:t xml:space="preserve">sunt eligibile </w:t>
      </w:r>
      <w:r w:rsidRPr="005D69ED">
        <w:rPr>
          <w:rFonts w:asciiTheme="minorHAnsi" w:eastAsia="Times New Roman" w:hAnsiTheme="minorHAnsi" w:cstheme="minorHAnsi"/>
          <w:szCs w:val="24"/>
          <w:lang w:val="ro-RO"/>
        </w:rPr>
        <w:t>în măsura în care sunt utilizate exclusiv în cadrul unității care primește ajut</w:t>
      </w:r>
      <w:r w:rsidR="00C0006A" w:rsidRPr="005D69ED">
        <w:rPr>
          <w:rFonts w:asciiTheme="minorHAnsi" w:eastAsia="Times New Roman" w:hAnsiTheme="minorHAnsi" w:cstheme="minorHAnsi"/>
          <w:szCs w:val="24"/>
          <w:lang w:val="ro-RO"/>
        </w:rPr>
        <w:t xml:space="preserve">orul, sunt amortizabile și </w:t>
      </w:r>
      <w:r w:rsidRPr="005D69ED">
        <w:rPr>
          <w:rFonts w:asciiTheme="minorHAnsi" w:eastAsia="Times New Roman" w:hAnsiTheme="minorHAnsi" w:cstheme="minorHAnsi"/>
          <w:szCs w:val="24"/>
          <w:lang w:val="ro-RO"/>
        </w:rPr>
        <w:t xml:space="preserve">sunt achiziționate în condițiile pieței de la terți fără legături cu beneficiarul ajutorului. </w:t>
      </w:r>
    </w:p>
    <w:p w14:paraId="698DC2CE" w14:textId="62C70811" w:rsidR="002C23F9" w:rsidRPr="005D69ED" w:rsidRDefault="002C23F9" w:rsidP="0059765D">
      <w:pPr>
        <w:pStyle w:val="StyleBefore2ptAfter2ptLinespacingExactly12pt1"/>
        <w:numPr>
          <w:ilvl w:val="1"/>
          <w:numId w:val="12"/>
        </w:numPr>
        <w:spacing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Cheltuieli de personal (cheltuieli salariale pentru personalul implicat în activităţile de introducere în producție a rezultatelor cercetării şi realizarea produsului/serviciului</w:t>
      </w:r>
      <w:r w:rsidR="00807F3B" w:rsidRPr="005D69ED">
        <w:rPr>
          <w:rFonts w:asciiTheme="minorHAnsi" w:eastAsia="Times New Roman" w:hAnsiTheme="minorHAnsi" w:cstheme="minorHAnsi"/>
          <w:szCs w:val="24"/>
          <w:lang w:val="ro-RO"/>
        </w:rPr>
        <w:t xml:space="preserve"> angajat în cadrul entității beneficiare</w:t>
      </w:r>
      <w:r w:rsidRPr="005D69ED">
        <w:rPr>
          <w:rFonts w:asciiTheme="minorHAnsi" w:eastAsia="Times New Roman" w:hAnsiTheme="minorHAnsi" w:cstheme="minorHAnsi"/>
          <w:szCs w:val="24"/>
          <w:lang w:val="ro-RO"/>
        </w:rPr>
        <w:t>):</w:t>
      </w:r>
    </w:p>
    <w:p w14:paraId="7E7759EF" w14:textId="77777777" w:rsidR="00CC0613" w:rsidRPr="005D69ED" w:rsidRDefault="002C23F9" w:rsidP="0059765D">
      <w:pPr>
        <w:widowControl/>
        <w:numPr>
          <w:ilvl w:val="0"/>
          <w:numId w:val="21"/>
        </w:numPr>
        <w:spacing w:after="160" w:line="276" w:lineRule="auto"/>
        <w:contextualSpacing/>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 xml:space="preserve">Cheltuieli salariale pentru activităţi de introducere în producție </w:t>
      </w:r>
      <w:r w:rsidR="00414A85" w:rsidRPr="005D69ED">
        <w:rPr>
          <w:rFonts w:asciiTheme="minorHAnsi" w:eastAsia="Times New Roman" w:hAnsiTheme="minorHAnsi" w:cstheme="minorHAnsi"/>
          <w:szCs w:val="24"/>
          <w:lang w:val="ro-RO"/>
        </w:rPr>
        <w:t>sau de prestare în piață a serviciilor rezultate în urma rezultatelor cercetării</w:t>
      </w:r>
      <w:r w:rsidRPr="005D69ED">
        <w:rPr>
          <w:rFonts w:asciiTheme="minorHAnsi" w:eastAsia="Times New Roman" w:hAnsiTheme="minorHAnsi" w:cstheme="minorHAnsi"/>
          <w:szCs w:val="24"/>
          <w:lang w:val="ro-RO"/>
        </w:rPr>
        <w:t>, maxim 10% din totalul cheltuielilor eligibile enumerate la</w:t>
      </w:r>
      <w:r w:rsidR="00C13F6A" w:rsidRPr="005D69ED">
        <w:rPr>
          <w:rFonts w:asciiTheme="minorHAnsi" w:eastAsia="Times New Roman" w:hAnsiTheme="minorHAnsi" w:cstheme="minorHAnsi"/>
          <w:szCs w:val="24"/>
          <w:lang w:val="ro-RO"/>
        </w:rPr>
        <w:t xml:space="preserve"> </w:t>
      </w:r>
      <w:r w:rsidRPr="005D69ED">
        <w:rPr>
          <w:rFonts w:asciiTheme="minorHAnsi" w:eastAsia="Times New Roman" w:hAnsiTheme="minorHAnsi" w:cstheme="minorHAnsi"/>
          <w:szCs w:val="24"/>
          <w:lang w:val="ro-RO"/>
        </w:rPr>
        <w:t>lit</w:t>
      </w:r>
      <w:r w:rsidR="00C52EE9" w:rsidRPr="005D69ED">
        <w:rPr>
          <w:rFonts w:asciiTheme="minorHAnsi" w:eastAsia="Times New Roman" w:hAnsiTheme="minorHAnsi" w:cstheme="minorHAnsi"/>
          <w:szCs w:val="24"/>
          <w:lang w:val="ro-RO"/>
        </w:rPr>
        <w:t>. a,b,c</w:t>
      </w:r>
      <w:r w:rsidRPr="005D69ED">
        <w:rPr>
          <w:rFonts w:asciiTheme="minorHAnsi" w:eastAsia="Times New Roman" w:hAnsiTheme="minorHAnsi" w:cstheme="minorHAnsi"/>
          <w:szCs w:val="24"/>
          <w:lang w:val="ro-RO"/>
        </w:rPr>
        <w:t xml:space="preserve">. </w:t>
      </w:r>
    </w:p>
    <w:p w14:paraId="43C224C1" w14:textId="77777777" w:rsidR="002C23F9" w:rsidRPr="005D69ED" w:rsidRDefault="002C23F9" w:rsidP="0059765D">
      <w:pPr>
        <w:widowControl/>
        <w:numPr>
          <w:ilvl w:val="0"/>
          <w:numId w:val="12"/>
        </w:numPr>
        <w:spacing w:line="276" w:lineRule="auto"/>
        <w:contextualSpacing/>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Cheltuieli generale, necesare proiectului</w:t>
      </w:r>
      <w:r w:rsidR="00382817" w:rsidRPr="005D69ED">
        <w:rPr>
          <w:rFonts w:asciiTheme="minorHAnsi" w:eastAsia="Times New Roman" w:hAnsiTheme="minorHAnsi" w:cstheme="minorHAnsi"/>
          <w:szCs w:val="24"/>
          <w:lang w:val="ro-RO"/>
        </w:rPr>
        <w:t xml:space="preserve">, in limita a 5% din totalul </w:t>
      </w:r>
      <w:r w:rsidR="002413A7" w:rsidRPr="005D69ED">
        <w:rPr>
          <w:rFonts w:asciiTheme="minorHAnsi" w:eastAsia="Times New Roman" w:hAnsiTheme="minorHAnsi" w:cstheme="minorHAnsi"/>
          <w:szCs w:val="24"/>
          <w:lang w:val="ro-RO"/>
        </w:rPr>
        <w:t xml:space="preserve">cheltuielilor </w:t>
      </w:r>
      <w:r w:rsidR="00382817" w:rsidRPr="005D69ED">
        <w:rPr>
          <w:rFonts w:asciiTheme="minorHAnsi" w:eastAsia="Times New Roman" w:hAnsiTheme="minorHAnsi" w:cstheme="minorHAnsi"/>
          <w:szCs w:val="24"/>
          <w:lang w:val="ro-RO"/>
        </w:rPr>
        <w:t>proiectului</w:t>
      </w:r>
      <w:r w:rsidRPr="005D69ED">
        <w:rPr>
          <w:rFonts w:asciiTheme="minorHAnsi" w:eastAsia="Times New Roman" w:hAnsiTheme="minorHAnsi" w:cstheme="minorHAnsi"/>
          <w:szCs w:val="24"/>
          <w:lang w:val="ro-RO"/>
        </w:rPr>
        <w:t>:</w:t>
      </w:r>
    </w:p>
    <w:p w14:paraId="0A08CE91" w14:textId="3DAD08E7" w:rsidR="00382817" w:rsidRPr="005D69ED" w:rsidRDefault="002C23F9" w:rsidP="0059765D">
      <w:pPr>
        <w:pStyle w:val="StyleBefore2ptAfter2ptLinespacingExactly12pt1"/>
        <w:numPr>
          <w:ilvl w:val="1"/>
          <w:numId w:val="12"/>
        </w:numPr>
        <w:spacing w:line="276" w:lineRule="auto"/>
        <w:rPr>
          <w:rFonts w:asciiTheme="minorHAnsi" w:hAnsiTheme="minorHAnsi" w:cstheme="minorHAnsi"/>
          <w:szCs w:val="24"/>
          <w:lang w:val="ro-RO"/>
        </w:rPr>
      </w:pPr>
      <w:r w:rsidRPr="005D69ED">
        <w:rPr>
          <w:rFonts w:asciiTheme="minorHAnsi" w:eastAsia="Times New Roman" w:hAnsiTheme="minorHAnsi" w:cstheme="minorHAnsi"/>
          <w:szCs w:val="24"/>
          <w:lang w:val="ro-RO"/>
        </w:rPr>
        <w:t xml:space="preserve">cheltuieli privind consultanța - acestea includ cheltuielile efectuate, după caz, plata serviciilor de consultanță în domeniul managementului execuției investiției sau </w:t>
      </w:r>
      <w:r w:rsidR="0036124E" w:rsidRPr="005D69ED">
        <w:rPr>
          <w:rFonts w:asciiTheme="minorHAnsi" w:eastAsia="Times New Roman" w:hAnsiTheme="minorHAnsi" w:cstheme="minorHAnsi"/>
          <w:szCs w:val="24"/>
          <w:lang w:val="ro-RO"/>
        </w:rPr>
        <w:t>managementul</w:t>
      </w:r>
      <w:r w:rsidRPr="005D69ED">
        <w:rPr>
          <w:rFonts w:asciiTheme="minorHAnsi" w:eastAsia="Times New Roman" w:hAnsiTheme="minorHAnsi" w:cstheme="minorHAnsi"/>
          <w:szCs w:val="24"/>
          <w:lang w:val="ro-RO"/>
        </w:rPr>
        <w:t xml:space="preserve"> contractului de </w:t>
      </w:r>
      <w:r w:rsidR="0036124E" w:rsidRPr="005D69ED">
        <w:rPr>
          <w:rFonts w:asciiTheme="minorHAnsi" w:eastAsia="Times New Roman" w:hAnsiTheme="minorHAnsi" w:cstheme="minorHAnsi"/>
          <w:szCs w:val="24"/>
          <w:lang w:val="ro-RO"/>
        </w:rPr>
        <w:t>finanțare</w:t>
      </w:r>
      <w:r w:rsidRPr="005D69ED">
        <w:rPr>
          <w:rFonts w:asciiTheme="minorHAnsi" w:eastAsia="Times New Roman" w:hAnsiTheme="minorHAnsi" w:cstheme="minorHAnsi"/>
          <w:szCs w:val="24"/>
          <w:lang w:val="ro-RO"/>
        </w:rPr>
        <w:t xml:space="preserve"> (managementul de proiect), plata serviciilor de consultanță </w:t>
      </w:r>
      <w:r w:rsidR="0036124E" w:rsidRPr="005D69ED">
        <w:rPr>
          <w:rFonts w:asciiTheme="minorHAnsi" w:eastAsia="Times New Roman" w:hAnsiTheme="minorHAnsi" w:cstheme="minorHAnsi"/>
          <w:szCs w:val="24"/>
          <w:lang w:val="ro-RO"/>
        </w:rPr>
        <w:t>pentru</w:t>
      </w:r>
      <w:r w:rsidRPr="005D69ED">
        <w:rPr>
          <w:rFonts w:asciiTheme="minorHAnsi" w:eastAsia="Times New Roman" w:hAnsiTheme="minorHAnsi" w:cstheme="minorHAnsi"/>
          <w:szCs w:val="24"/>
          <w:lang w:val="ro-RO"/>
        </w:rPr>
        <w:t xml:space="preserve"> elaborarea, organizarea și derularea procedurilor de achiziții, plata serviciilor de consultanță la elaborarea cererii de finanțare.</w:t>
      </w:r>
    </w:p>
    <w:p w14:paraId="0EE94AF9" w14:textId="77777777" w:rsidR="00CC0613" w:rsidRPr="005D69ED" w:rsidRDefault="00382817" w:rsidP="0059765D">
      <w:pPr>
        <w:pStyle w:val="StyleBefore2ptAfter2ptLinespacingExactly12pt1"/>
        <w:numPr>
          <w:ilvl w:val="1"/>
          <w:numId w:val="12"/>
        </w:numPr>
        <w:spacing w:line="276" w:lineRule="auto"/>
        <w:rPr>
          <w:rFonts w:asciiTheme="minorHAnsi" w:hAnsiTheme="minorHAnsi" w:cstheme="minorHAnsi"/>
          <w:szCs w:val="24"/>
          <w:lang w:val="ro-RO"/>
        </w:rPr>
      </w:pPr>
      <w:r w:rsidRPr="005D69ED">
        <w:rPr>
          <w:rFonts w:asciiTheme="minorHAnsi" w:eastAsia="Times New Roman" w:hAnsiTheme="minorHAnsi" w:cstheme="minorHAnsi"/>
          <w:szCs w:val="24"/>
          <w:lang w:val="ro-RO"/>
        </w:rPr>
        <w:t>cheltuieli de publicitate și informare obligatorii conform normelor europene, în limita a 5.000 de lei;</w:t>
      </w:r>
      <w:r w:rsidR="00414A85" w:rsidRPr="005D69ED">
        <w:rPr>
          <w:rFonts w:asciiTheme="minorHAnsi" w:hAnsiTheme="minorHAnsi" w:cstheme="minorHAnsi"/>
          <w:szCs w:val="24"/>
          <w:lang w:val="ro-RO"/>
        </w:rPr>
        <w:t xml:space="preserve"> </w:t>
      </w:r>
    </w:p>
    <w:p w14:paraId="26EDF213" w14:textId="77777777" w:rsidR="00385C69" w:rsidRPr="005D69ED" w:rsidRDefault="00385C69" w:rsidP="0059765D">
      <w:pPr>
        <w:widowControl/>
        <w:spacing w:after="160" w:line="276" w:lineRule="auto"/>
        <w:contextualSpacing/>
        <w:rPr>
          <w:rFonts w:asciiTheme="minorHAnsi" w:hAnsiTheme="minorHAnsi" w:cstheme="minorHAnsi"/>
          <w:szCs w:val="24"/>
          <w:lang w:val="ro-RO"/>
        </w:rPr>
      </w:pPr>
    </w:p>
    <w:p w14:paraId="116C7E8C" w14:textId="77777777" w:rsidR="00014D21" w:rsidRPr="005D69ED" w:rsidRDefault="00CC0613" w:rsidP="0059765D">
      <w:pPr>
        <w:widowControl/>
        <w:spacing w:after="160" w:line="276" w:lineRule="auto"/>
        <w:contextualSpacing/>
        <w:rPr>
          <w:rFonts w:asciiTheme="minorHAnsi" w:hAnsiTheme="minorHAnsi" w:cstheme="minorHAnsi"/>
          <w:lang w:val="ro-RO"/>
        </w:rPr>
      </w:pPr>
      <w:r w:rsidRPr="005D69ED">
        <w:rPr>
          <w:rFonts w:asciiTheme="minorHAnsi" w:eastAsia="Times New Roman" w:hAnsiTheme="minorHAnsi" w:cstheme="minorHAnsi"/>
          <w:szCs w:val="24"/>
          <w:lang w:val="ro-RO"/>
        </w:rPr>
        <w:t>Totalul cheltuielilor salariale pe ambele componente din buget este de maxim 50%. Valorile per persoană nu pot depăși plafoanele prevăzute în Hotărârea Guvernului nr. 751/2017 pentru modificarea anexei la Hotărârea Guvernului nr. 327/2003 privind plafoanele pe baza cărora se calculează costurile salariale directe la contractele de finanţare încheiate din fonduri bugetare;</w:t>
      </w:r>
      <w:r w:rsidRPr="005D69ED" w:rsidDel="00CC0613">
        <w:rPr>
          <w:rFonts w:asciiTheme="minorHAnsi" w:hAnsiTheme="minorHAnsi" w:cstheme="minorHAnsi"/>
          <w:lang w:val="ro-RO"/>
        </w:rPr>
        <w:t xml:space="preserve"> </w:t>
      </w:r>
    </w:p>
    <w:p w14:paraId="0A3F8AD1" w14:textId="77777777" w:rsidR="00385C69" w:rsidRPr="005D69ED" w:rsidRDefault="00385C69" w:rsidP="0059765D">
      <w:pPr>
        <w:widowControl/>
        <w:spacing w:after="160" w:line="276" w:lineRule="auto"/>
        <w:contextualSpacing/>
        <w:rPr>
          <w:rFonts w:asciiTheme="minorHAnsi" w:hAnsiTheme="minorHAnsi" w:cstheme="minorHAnsi"/>
          <w:szCs w:val="24"/>
          <w:lang w:val="ro-RO"/>
        </w:rPr>
      </w:pPr>
    </w:p>
    <w:p w14:paraId="42BD321E" w14:textId="77777777" w:rsidR="002C23F9" w:rsidRPr="005D69ED" w:rsidRDefault="002C23F9" w:rsidP="0059765D">
      <w:pPr>
        <w:widowControl/>
        <w:spacing w:after="160" w:line="276" w:lineRule="auto"/>
        <w:contextualSpacing/>
        <w:rPr>
          <w:rFonts w:asciiTheme="minorHAnsi" w:hAnsiTheme="minorHAnsi" w:cstheme="minorHAnsi"/>
          <w:szCs w:val="24"/>
          <w:lang w:val="ro-RO"/>
        </w:rPr>
      </w:pPr>
      <w:r w:rsidRPr="005D69ED">
        <w:rPr>
          <w:rFonts w:asciiTheme="minorHAnsi" w:hAnsiTheme="minorHAnsi" w:cstheme="minorHAnsi"/>
          <w:szCs w:val="24"/>
          <w:lang w:val="ro-RO"/>
        </w:rPr>
        <w:t>Limitele procentuale prevăzute pentru anumite categorii de cheltuieli se aplică</w:t>
      </w:r>
      <w:r w:rsidR="00BD782C" w:rsidRPr="005D69ED">
        <w:rPr>
          <w:rFonts w:asciiTheme="minorHAnsi" w:hAnsiTheme="minorHAnsi" w:cstheme="minorHAnsi"/>
          <w:szCs w:val="24"/>
          <w:lang w:val="ro-RO"/>
        </w:rPr>
        <w:t xml:space="preserve"> pentru verificare, doar</w:t>
      </w:r>
      <w:r w:rsidRPr="005D69ED">
        <w:rPr>
          <w:rFonts w:asciiTheme="minorHAnsi" w:hAnsiTheme="minorHAnsi" w:cstheme="minorHAnsi"/>
          <w:szCs w:val="24"/>
          <w:lang w:val="ro-RO"/>
        </w:rPr>
        <w:t xml:space="preserve"> la valoarea cheltuielilor incluse în bugetul proiectului la data semnării contractului de finanțare.</w:t>
      </w:r>
    </w:p>
    <w:p w14:paraId="6F387998" w14:textId="77777777" w:rsidR="00385C69" w:rsidRPr="005D69ED" w:rsidRDefault="00385C69" w:rsidP="0059765D">
      <w:pPr>
        <w:widowControl/>
        <w:spacing w:line="276" w:lineRule="auto"/>
        <w:rPr>
          <w:rFonts w:asciiTheme="minorHAnsi" w:eastAsia="Times New Roman" w:hAnsiTheme="minorHAnsi" w:cstheme="minorHAnsi"/>
          <w:szCs w:val="24"/>
          <w:lang w:val="ro-RO"/>
        </w:rPr>
      </w:pPr>
    </w:p>
    <w:p w14:paraId="649DAE1C" w14:textId="77777777" w:rsidR="00385C69" w:rsidRPr="005D69ED" w:rsidRDefault="00385C69" w:rsidP="0059765D">
      <w:pPr>
        <w:widowControl/>
        <w:spacing w:line="276" w:lineRule="auto"/>
        <w:rPr>
          <w:rFonts w:asciiTheme="minorHAnsi" w:eastAsia="Times New Roman" w:hAnsiTheme="minorHAnsi" w:cstheme="minorHAnsi"/>
          <w:szCs w:val="24"/>
          <w:lang w:val="ro-RO"/>
        </w:rPr>
      </w:pPr>
    </w:p>
    <w:p w14:paraId="102D459C" w14:textId="77777777" w:rsidR="009164A6" w:rsidRPr="005D69ED" w:rsidRDefault="003500BA" w:rsidP="0059765D">
      <w:pPr>
        <w:widowControl/>
        <w:spacing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TVA-ul reprezintă o cheltuială eligibilă în măsura în care este nedeductibilă</w:t>
      </w:r>
      <w:r w:rsidR="00124AB8" w:rsidRPr="005D69ED">
        <w:rPr>
          <w:rFonts w:asciiTheme="minorHAnsi" w:eastAsia="Times New Roman" w:hAnsiTheme="minorHAnsi" w:cstheme="minorHAnsi"/>
          <w:szCs w:val="24"/>
          <w:lang w:val="ro-RO"/>
        </w:rPr>
        <w:t>,</w:t>
      </w:r>
      <w:r w:rsidRPr="005D69ED">
        <w:rPr>
          <w:rFonts w:asciiTheme="minorHAnsi" w:eastAsia="Times New Roman" w:hAnsiTheme="minorHAnsi" w:cstheme="minorHAnsi"/>
          <w:szCs w:val="24"/>
          <w:lang w:val="ro-RO"/>
        </w:rPr>
        <w:t xml:space="preserve"> </w:t>
      </w:r>
      <w:r w:rsidR="00EA0E2D" w:rsidRPr="005D69ED">
        <w:rPr>
          <w:rFonts w:asciiTheme="minorHAnsi" w:eastAsia="Times New Roman" w:hAnsiTheme="minorHAnsi" w:cstheme="minorHAnsi"/>
          <w:szCs w:val="24"/>
          <w:lang w:val="ro-RO"/>
        </w:rPr>
        <w:t xml:space="preserve">și este aferentă </w:t>
      </w:r>
      <w:r w:rsidRPr="005D69ED">
        <w:rPr>
          <w:rFonts w:asciiTheme="minorHAnsi" w:eastAsia="Times New Roman" w:hAnsiTheme="minorHAnsi" w:cstheme="minorHAnsi"/>
          <w:szCs w:val="24"/>
          <w:lang w:val="ro-RO"/>
        </w:rPr>
        <w:t>doar acel</w:t>
      </w:r>
      <w:r w:rsidR="00EA0E2D" w:rsidRPr="005D69ED">
        <w:rPr>
          <w:rFonts w:asciiTheme="minorHAnsi" w:eastAsia="Times New Roman" w:hAnsiTheme="minorHAnsi" w:cstheme="minorHAnsi"/>
          <w:szCs w:val="24"/>
          <w:lang w:val="ro-RO"/>
        </w:rPr>
        <w:t>or</w:t>
      </w:r>
      <w:r w:rsidRPr="005D69ED">
        <w:rPr>
          <w:rFonts w:asciiTheme="minorHAnsi" w:eastAsia="Times New Roman" w:hAnsiTheme="minorHAnsi" w:cstheme="minorHAnsi"/>
          <w:szCs w:val="24"/>
          <w:lang w:val="ro-RO"/>
        </w:rPr>
        <w:t xml:space="preserve"> cheltuieli eligibile conform Capitolul X . </w:t>
      </w:r>
    </w:p>
    <w:p w14:paraId="33D4388E" w14:textId="77777777" w:rsidR="00385C69" w:rsidRPr="005D69ED" w:rsidRDefault="00385C69" w:rsidP="0059765D">
      <w:pPr>
        <w:widowControl/>
        <w:spacing w:line="276" w:lineRule="auto"/>
        <w:rPr>
          <w:rFonts w:asciiTheme="minorHAnsi" w:eastAsia="Times New Roman" w:hAnsiTheme="minorHAnsi" w:cstheme="minorHAnsi"/>
          <w:szCs w:val="24"/>
          <w:lang w:val="ro-RO"/>
        </w:rPr>
      </w:pPr>
    </w:p>
    <w:p w14:paraId="6F8A72FB" w14:textId="77777777" w:rsidR="00385C69" w:rsidRPr="005D69ED" w:rsidRDefault="00385C69" w:rsidP="0059765D">
      <w:pPr>
        <w:widowControl/>
        <w:spacing w:line="276" w:lineRule="auto"/>
        <w:rPr>
          <w:rFonts w:asciiTheme="minorHAnsi" w:eastAsia="Times New Roman" w:hAnsiTheme="minorHAnsi" w:cstheme="minorHAnsi"/>
          <w:szCs w:val="24"/>
          <w:lang w:val="ro-RO"/>
        </w:rPr>
      </w:pPr>
    </w:p>
    <w:p w14:paraId="2D69E765" w14:textId="77777777" w:rsidR="009164A6" w:rsidRPr="005D69ED" w:rsidRDefault="003500BA" w:rsidP="0059765D">
      <w:pPr>
        <w:widowControl/>
        <w:spacing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 xml:space="preserve">Cheltuielile neeligibile conexe celor eligibile sunt următoarele: </w:t>
      </w:r>
    </w:p>
    <w:p w14:paraId="52DEC9DC" w14:textId="77777777" w:rsidR="009164A6" w:rsidRPr="005D69ED" w:rsidRDefault="003500BA" w:rsidP="0059765D">
      <w:pPr>
        <w:numPr>
          <w:ilvl w:val="0"/>
          <w:numId w:val="9"/>
        </w:numPr>
        <w:spacing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 xml:space="preserve">elementele de mobilier care nu sunt legate de </w:t>
      </w:r>
      <w:r w:rsidR="00414A85" w:rsidRPr="005D69ED">
        <w:rPr>
          <w:rFonts w:asciiTheme="minorHAnsi" w:eastAsia="Times New Roman" w:hAnsiTheme="minorHAnsi" w:cstheme="minorHAnsi"/>
          <w:szCs w:val="24"/>
          <w:lang w:val="ro-RO"/>
        </w:rPr>
        <w:t>activitățile aferente Componentei 1 sau Componentei 2</w:t>
      </w:r>
      <w:r w:rsidRPr="005D69ED">
        <w:rPr>
          <w:rFonts w:asciiTheme="minorHAnsi" w:eastAsia="Times New Roman" w:hAnsiTheme="minorHAnsi" w:cstheme="minorHAnsi"/>
          <w:szCs w:val="24"/>
          <w:lang w:val="ro-RO"/>
        </w:rPr>
        <w:t xml:space="preserve">; </w:t>
      </w:r>
    </w:p>
    <w:p w14:paraId="47F2D14A" w14:textId="77777777" w:rsidR="00135922" w:rsidRPr="005D69ED" w:rsidRDefault="00135922" w:rsidP="0059765D">
      <w:pPr>
        <w:numPr>
          <w:ilvl w:val="0"/>
          <w:numId w:val="9"/>
        </w:numPr>
        <w:spacing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Dotările pentru spații de odihnă, spații de luat masa și spații administrative (inclusiv mobilier birouri).</w:t>
      </w:r>
    </w:p>
    <w:p w14:paraId="4953F1F4" w14:textId="7D952ABB" w:rsidR="00135922" w:rsidRPr="005D69ED" w:rsidRDefault="00135922" w:rsidP="0059765D">
      <w:pPr>
        <w:numPr>
          <w:ilvl w:val="0"/>
          <w:numId w:val="9"/>
        </w:numPr>
        <w:spacing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Cheltuielile pentru împrejmuiri, parcări, platforme, alei betonate și amenajare spații verzi.</w:t>
      </w:r>
      <w:r w:rsidR="00807F3B" w:rsidRPr="005D69ED">
        <w:rPr>
          <w:rFonts w:asciiTheme="minorHAnsi" w:eastAsia="Times New Roman" w:hAnsiTheme="minorHAnsi" w:cstheme="minorHAnsi"/>
          <w:szCs w:val="24"/>
          <w:lang w:val="ro-RO"/>
        </w:rPr>
        <w:t xml:space="preserve"> Cheltuielile pentru asigurarea căilor de acces sunt eligibile în condițiile prezentate mai sus.</w:t>
      </w:r>
    </w:p>
    <w:p w14:paraId="3475F0F6" w14:textId="77777777" w:rsidR="00135922" w:rsidRPr="005D69ED" w:rsidRDefault="00135922" w:rsidP="0059765D">
      <w:pPr>
        <w:numPr>
          <w:ilvl w:val="0"/>
          <w:numId w:val="9"/>
        </w:numPr>
        <w:spacing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Cheltuielile financiare, respectiv prime de asigurare, taxe, comisioane, rata și dobânzi aferente creditelor</w:t>
      </w:r>
    </w:p>
    <w:p w14:paraId="2BA9E69C" w14:textId="77777777" w:rsidR="00135922" w:rsidRPr="005D69ED" w:rsidRDefault="00135922" w:rsidP="0059765D">
      <w:pPr>
        <w:numPr>
          <w:ilvl w:val="0"/>
          <w:numId w:val="9"/>
        </w:numPr>
        <w:spacing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Contribuția în natură</w:t>
      </w:r>
      <w:r w:rsidR="00014D21" w:rsidRPr="005D69ED">
        <w:rPr>
          <w:rFonts w:asciiTheme="minorHAnsi" w:eastAsia="Times New Roman" w:hAnsiTheme="minorHAnsi" w:cstheme="minorHAnsi"/>
          <w:szCs w:val="24"/>
        </w:rPr>
        <w:t>;</w:t>
      </w:r>
    </w:p>
    <w:p w14:paraId="3000AEF6" w14:textId="21F441E8" w:rsidR="00135922" w:rsidRPr="005D69ED" w:rsidRDefault="00135922" w:rsidP="0059765D">
      <w:pPr>
        <w:numPr>
          <w:ilvl w:val="0"/>
          <w:numId w:val="9"/>
        </w:numPr>
        <w:spacing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 xml:space="preserve">orice alte cheltuieli care nu se regăsesc în lista </w:t>
      </w:r>
      <w:r w:rsidR="00DD3309" w:rsidRPr="005D69ED">
        <w:rPr>
          <w:rFonts w:asciiTheme="minorHAnsi" w:eastAsia="Times New Roman" w:hAnsiTheme="minorHAnsi" w:cstheme="minorHAnsi"/>
          <w:szCs w:val="24"/>
          <w:lang w:val="ro-RO"/>
        </w:rPr>
        <w:t xml:space="preserve">de cheltuieli eligibile </w:t>
      </w:r>
      <w:r w:rsidRPr="005D69ED">
        <w:rPr>
          <w:rFonts w:asciiTheme="minorHAnsi" w:eastAsia="Times New Roman" w:hAnsiTheme="minorHAnsi" w:cstheme="minorHAnsi"/>
          <w:szCs w:val="24"/>
          <w:lang w:val="ro-RO"/>
        </w:rPr>
        <w:t>prevăzută în cuprinsul prezentului act normativ</w:t>
      </w:r>
      <w:r w:rsidR="00DD3309" w:rsidRPr="005D69ED">
        <w:rPr>
          <w:rFonts w:asciiTheme="minorHAnsi" w:eastAsia="Times New Roman" w:hAnsiTheme="minorHAnsi" w:cstheme="minorHAnsi"/>
          <w:szCs w:val="24"/>
          <w:lang w:val="ro-RO"/>
        </w:rPr>
        <w:t>.</w:t>
      </w:r>
    </w:p>
    <w:p w14:paraId="329129F6" w14:textId="1C8C797F" w:rsidR="00807F3B" w:rsidRPr="005D69ED" w:rsidRDefault="00807F3B" w:rsidP="0059765D">
      <w:pPr>
        <w:numPr>
          <w:ilvl w:val="0"/>
          <w:numId w:val="9"/>
        </w:numPr>
        <w:spacing w:line="276" w:lineRule="auto"/>
        <w:rPr>
          <w:rFonts w:asciiTheme="minorHAnsi" w:eastAsia="Times New Roman" w:hAnsiTheme="minorHAnsi" w:cstheme="minorHAnsi"/>
          <w:szCs w:val="24"/>
          <w:lang w:val="ro-RO"/>
        </w:rPr>
      </w:pPr>
      <w:r w:rsidRPr="005D69ED">
        <w:rPr>
          <w:rFonts w:asciiTheme="minorHAnsi" w:eastAsia="Times New Roman" w:hAnsiTheme="minorHAnsi" w:cstheme="minorHAnsi"/>
          <w:szCs w:val="24"/>
          <w:lang w:val="ro-RO"/>
        </w:rPr>
        <w:t>Sisteme de încălzire care au la bază utilizarea combustibililor solizi</w:t>
      </w:r>
    </w:p>
    <w:p w14:paraId="2544E75D" w14:textId="77777777" w:rsidR="003169DF" w:rsidRPr="005D69ED" w:rsidRDefault="003169DF" w:rsidP="00051F51">
      <w:pPr>
        <w:spacing w:line="276" w:lineRule="auto"/>
        <w:rPr>
          <w:rFonts w:asciiTheme="minorHAnsi" w:eastAsia="Times New Roman" w:hAnsiTheme="minorHAnsi" w:cstheme="minorHAnsi"/>
          <w:color w:val="0070C0"/>
          <w:szCs w:val="24"/>
          <w:lang w:val="ro-RO"/>
        </w:rPr>
      </w:pPr>
    </w:p>
    <w:sectPr w:rsidR="003169DF" w:rsidRPr="005D69ED" w:rsidSect="005D69ED">
      <w:headerReference w:type="even" r:id="rId9"/>
      <w:headerReference w:type="default" r:id="rId10"/>
      <w:footerReference w:type="even" r:id="rId11"/>
      <w:footerReference w:type="default" r:id="rId12"/>
      <w:headerReference w:type="first" r:id="rId13"/>
      <w:footerReference w:type="first" r:id="rId14"/>
      <w:pgSz w:w="11900" w:h="16840"/>
      <w:pgMar w:top="1440" w:right="1080" w:bottom="1440" w:left="1080" w:header="0" w:footer="0"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A37A6" w14:textId="77777777" w:rsidR="000C224B" w:rsidRDefault="000C224B">
      <w:r>
        <w:separator/>
      </w:r>
    </w:p>
  </w:endnote>
  <w:endnote w:type="continuationSeparator" w:id="0">
    <w:p w14:paraId="0B9D2876" w14:textId="77777777" w:rsidR="000C224B" w:rsidRDefault="000C224B">
      <w:r>
        <w:continuationSeparator/>
      </w:r>
    </w:p>
  </w:endnote>
  <w:endnote w:type="continuationNotice" w:id="1">
    <w:p w14:paraId="77F49D19" w14:textId="77777777" w:rsidR="000C224B" w:rsidRDefault="000C22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C321B" w14:textId="77777777" w:rsidR="00124703" w:rsidRDefault="001A796B">
    <w:pPr>
      <w:pBdr>
        <w:top w:val="nil"/>
        <w:left w:val="nil"/>
        <w:bottom w:val="nil"/>
        <w:right w:val="nil"/>
        <w:between w:val="nil"/>
      </w:pBdr>
      <w:tabs>
        <w:tab w:val="center" w:pos="4320"/>
        <w:tab w:val="right" w:pos="8640"/>
      </w:tabs>
      <w:jc w:val="right"/>
      <w:rPr>
        <w:color w:val="000000"/>
        <w:szCs w:val="24"/>
      </w:rPr>
    </w:pPr>
    <w:r>
      <w:rPr>
        <w:color w:val="000000"/>
        <w:szCs w:val="24"/>
      </w:rPr>
      <w:fldChar w:fldCharType="begin"/>
    </w:r>
    <w:r w:rsidR="00124703">
      <w:rPr>
        <w:color w:val="000000"/>
        <w:szCs w:val="24"/>
      </w:rPr>
      <w:instrText>PAGE</w:instrText>
    </w:r>
    <w:r>
      <w:rPr>
        <w:color w:val="000000"/>
        <w:szCs w:val="24"/>
      </w:rPr>
      <w:fldChar w:fldCharType="end"/>
    </w:r>
  </w:p>
  <w:p w14:paraId="34AADD86" w14:textId="77777777" w:rsidR="00124703" w:rsidRDefault="00124703">
    <w:pPr>
      <w:pBdr>
        <w:top w:val="nil"/>
        <w:left w:val="nil"/>
        <w:bottom w:val="nil"/>
        <w:right w:val="nil"/>
        <w:between w:val="nil"/>
      </w:pBdr>
      <w:tabs>
        <w:tab w:val="center" w:pos="4320"/>
        <w:tab w:val="right" w:pos="8640"/>
      </w:tabs>
      <w:ind w:right="360"/>
      <w:rPr>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A649A" w14:textId="77777777" w:rsidR="005D69ED" w:rsidRDefault="005D69ED" w:rsidP="005D69ED">
    <w:pPr>
      <w:pStyle w:val="Footer"/>
      <w:jc w:val="center"/>
    </w:pPr>
  </w:p>
  <w:p w14:paraId="7592284E" w14:textId="77777777" w:rsidR="005D69ED" w:rsidRDefault="005D69ED" w:rsidP="005D69ED">
    <w:pPr>
      <w:pStyle w:val="Footer"/>
      <w:jc w:val="center"/>
    </w:pPr>
    <w:r>
      <w:rPr>
        <w:noProof/>
        <w:lang w:eastAsia="ro-RO"/>
      </w:rPr>
      <w:drawing>
        <wp:anchor distT="0" distB="0" distL="114300" distR="114300" simplePos="0" relativeHeight="251661824" behindDoc="0" locked="0" layoutInCell="1" allowOverlap="1" wp14:anchorId="0B3E83FA" wp14:editId="014B4649">
          <wp:simplePos x="0" y="0"/>
          <wp:positionH relativeFrom="margin">
            <wp:posOffset>1873250</wp:posOffset>
          </wp:positionH>
          <wp:positionV relativeFrom="paragraph">
            <wp:posOffset>114512</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032139AB" w14:textId="77777777" w:rsidR="005D69ED" w:rsidRDefault="005D69ED" w:rsidP="005D69ED">
    <w:pPr>
      <w:pStyle w:val="Footer"/>
      <w:jc w:val="center"/>
    </w:pPr>
  </w:p>
  <w:p w14:paraId="2CADF604" w14:textId="77777777" w:rsidR="005D69ED" w:rsidRPr="00D7265C" w:rsidRDefault="005D69ED" w:rsidP="005D69ED">
    <w:pPr>
      <w:pStyle w:val="Footer"/>
      <w:jc w:val="center"/>
      <w:rPr>
        <w:b/>
        <w:color w:val="002060"/>
        <w:sz w:val="18"/>
        <w:szCs w:val="18"/>
      </w:rPr>
    </w:pPr>
    <w:proofErr w:type="gramStart"/>
    <w:r w:rsidRPr="00D7265C">
      <w:rPr>
        <w:b/>
        <w:noProof/>
        <w:color w:val="002060"/>
        <w:sz w:val="18"/>
        <w:szCs w:val="18"/>
        <w:lang w:eastAsia="ro-RO"/>
      </w:rPr>
      <w:t>www.regionordvest.ro</w:t>
    </w:r>
    <w:r w:rsidRPr="00D7265C">
      <w:rPr>
        <w:b/>
        <w:color w:val="002060"/>
        <w:sz w:val="18"/>
        <w:szCs w:val="18"/>
      </w:rPr>
      <w:t xml:space="preserve">  I</w:t>
    </w:r>
    <w:proofErr w:type="gramEnd"/>
    <w:r w:rsidRPr="00D7265C">
      <w:rPr>
        <w:b/>
        <w:color w:val="002060"/>
        <w:sz w:val="18"/>
        <w:szCs w:val="18"/>
      </w:rPr>
      <w:t xml:space="preserve">  www.nord-vest.ro</w:t>
    </w:r>
  </w:p>
  <w:p w14:paraId="28C3C755" w14:textId="77777777" w:rsidR="005D69ED" w:rsidRPr="00D7265C" w:rsidRDefault="005D69ED" w:rsidP="005D69ED">
    <w:pPr>
      <w:pStyle w:val="Footer"/>
      <w:jc w:val="center"/>
      <w:rPr>
        <w:b/>
        <w:color w:val="002060"/>
        <w:sz w:val="18"/>
        <w:szCs w:val="18"/>
      </w:rPr>
    </w:pPr>
  </w:p>
  <w:p w14:paraId="79C2C41E" w14:textId="77777777" w:rsidR="005D69ED" w:rsidRPr="00D7265C" w:rsidRDefault="005D69ED" w:rsidP="005D69ED">
    <w:pPr>
      <w:pStyle w:val="Footer"/>
      <w:jc w:val="center"/>
      <w:rPr>
        <w:b/>
        <w:color w:val="002060"/>
        <w:sz w:val="18"/>
        <w:szCs w:val="18"/>
      </w:rPr>
    </w:pPr>
    <w:proofErr w:type="spellStart"/>
    <w:r w:rsidRPr="00D7265C">
      <w:rPr>
        <w:b/>
        <w:color w:val="002060"/>
        <w:sz w:val="18"/>
        <w:szCs w:val="18"/>
      </w:rPr>
      <w:t>Autoritatea</w:t>
    </w:r>
    <w:proofErr w:type="spellEnd"/>
    <w:r w:rsidRPr="00D7265C">
      <w:rPr>
        <w:b/>
        <w:color w:val="002060"/>
        <w:sz w:val="18"/>
        <w:szCs w:val="18"/>
      </w:rPr>
      <w:t xml:space="preserve"> de Management </w:t>
    </w:r>
    <w:proofErr w:type="spellStart"/>
    <w:r w:rsidRPr="00D7265C">
      <w:rPr>
        <w:b/>
        <w:color w:val="002060"/>
        <w:sz w:val="18"/>
        <w:szCs w:val="18"/>
      </w:rPr>
      <w:t>pentru</w:t>
    </w:r>
    <w:proofErr w:type="spellEnd"/>
    <w:r w:rsidRPr="00D7265C">
      <w:rPr>
        <w:b/>
        <w:color w:val="002060"/>
        <w:sz w:val="18"/>
        <w:szCs w:val="18"/>
      </w:rPr>
      <w:t xml:space="preserve"> </w:t>
    </w:r>
    <w:proofErr w:type="spellStart"/>
    <w:r w:rsidRPr="00D7265C">
      <w:rPr>
        <w:b/>
        <w:color w:val="002060"/>
        <w:sz w:val="18"/>
        <w:szCs w:val="18"/>
      </w:rPr>
      <w:t>Programul</w:t>
    </w:r>
    <w:proofErr w:type="spellEnd"/>
    <w:r w:rsidRPr="00D7265C">
      <w:rPr>
        <w:b/>
        <w:color w:val="002060"/>
        <w:sz w:val="18"/>
        <w:szCs w:val="18"/>
      </w:rPr>
      <w:t xml:space="preserve"> Regional Nord-Vest 2021-2027</w:t>
    </w:r>
  </w:p>
  <w:p w14:paraId="3FEAB49A" w14:textId="77777777" w:rsidR="005D69ED" w:rsidRPr="00D7265C" w:rsidRDefault="005D69ED" w:rsidP="005D69ED">
    <w:pPr>
      <w:pStyle w:val="Footer"/>
      <w:jc w:val="center"/>
      <w:rPr>
        <w:b/>
        <w:color w:val="002060"/>
        <w:sz w:val="18"/>
        <w:szCs w:val="18"/>
      </w:rPr>
    </w:pPr>
    <w:proofErr w:type="spellStart"/>
    <w:r w:rsidRPr="00D7265C">
      <w:rPr>
        <w:b/>
        <w:color w:val="002060"/>
        <w:sz w:val="18"/>
        <w:szCs w:val="18"/>
      </w:rPr>
      <w:t>Calea</w:t>
    </w:r>
    <w:proofErr w:type="spellEnd"/>
    <w:r w:rsidRPr="00D7265C">
      <w:rPr>
        <w:b/>
        <w:color w:val="002060"/>
        <w:sz w:val="18"/>
        <w:szCs w:val="18"/>
      </w:rPr>
      <w:t xml:space="preserve"> </w:t>
    </w:r>
    <w:proofErr w:type="spellStart"/>
    <w:r w:rsidRPr="00D7265C">
      <w:rPr>
        <w:b/>
        <w:color w:val="002060"/>
        <w:sz w:val="18"/>
        <w:szCs w:val="18"/>
      </w:rPr>
      <w:t>Dorobanților</w:t>
    </w:r>
    <w:proofErr w:type="spellEnd"/>
    <w:r w:rsidRPr="00D7265C">
      <w:rPr>
        <w:b/>
        <w:color w:val="002060"/>
        <w:sz w:val="18"/>
        <w:szCs w:val="18"/>
      </w:rPr>
      <w:t xml:space="preserve"> nr. 3, Cluj-Napoca, Cluj, Cod </w:t>
    </w:r>
    <w:proofErr w:type="spellStart"/>
    <w:r w:rsidRPr="00D7265C">
      <w:rPr>
        <w:b/>
        <w:color w:val="002060"/>
        <w:sz w:val="18"/>
        <w:szCs w:val="18"/>
      </w:rPr>
      <w:t>poştal</w:t>
    </w:r>
    <w:proofErr w:type="spellEnd"/>
    <w:r w:rsidRPr="00D7265C">
      <w:rPr>
        <w:b/>
        <w:color w:val="002060"/>
        <w:sz w:val="18"/>
        <w:szCs w:val="18"/>
      </w:rPr>
      <w:t>: 400118</w:t>
    </w:r>
  </w:p>
  <w:p w14:paraId="2A1F3B9B" w14:textId="77777777" w:rsidR="005D69ED" w:rsidRPr="00D7265C" w:rsidRDefault="005D69ED" w:rsidP="005D69ED">
    <w:pPr>
      <w:pStyle w:val="Footer"/>
      <w:jc w:val="center"/>
      <w:rPr>
        <w:b/>
        <w:color w:val="002060"/>
        <w:sz w:val="18"/>
        <w:szCs w:val="18"/>
      </w:rPr>
    </w:pPr>
    <w:r w:rsidRPr="00D7265C">
      <w:rPr>
        <w:b/>
        <w:color w:val="002060"/>
        <w:sz w:val="18"/>
        <w:szCs w:val="18"/>
      </w:rPr>
      <w:t>Tel: 00-40-264-431550, E-mail: secretariat@nord-vest.ro</w:t>
    </w:r>
  </w:p>
  <w:p w14:paraId="6D20CB0B" w14:textId="77777777" w:rsidR="005D69ED" w:rsidRDefault="005D69ED">
    <w:pPr>
      <w:pStyle w:val="Footer"/>
      <w:jc w:val="right"/>
    </w:pPr>
  </w:p>
  <w:sdt>
    <w:sdtPr>
      <w:id w:val="-1803836425"/>
      <w:docPartObj>
        <w:docPartGallery w:val="Page Numbers (Bottom of Page)"/>
        <w:docPartUnique/>
      </w:docPartObj>
    </w:sdtPr>
    <w:sdtEndPr>
      <w:rPr>
        <w:noProof/>
      </w:rPr>
    </w:sdtEndPr>
    <w:sdtContent>
      <w:p w14:paraId="2928FD06" w14:textId="5271A702" w:rsidR="005D69ED" w:rsidRDefault="005D69E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788B6DC" w14:textId="6B4DBD74" w:rsidR="00124703" w:rsidRDefault="00124703">
    <w:pPr>
      <w:rPr>
        <w:rFonts w:ascii="Times New Roman" w:eastAsia="Times New Roman"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A036" w14:textId="46C2724B" w:rsidR="00124703" w:rsidRPr="005D69ED" w:rsidRDefault="005D69ED" w:rsidP="005D69ED">
    <w:pPr>
      <w:pStyle w:val="Footer"/>
    </w:pPr>
    <w:r w:rsidRPr="005D69ED">
      <w:rPr>
        <w:noProof/>
      </w:rPr>
      <w:drawing>
        <wp:inline distT="0" distB="0" distL="0" distR="0" wp14:anchorId="041ED606" wp14:editId="4D291C79">
          <wp:extent cx="5779674" cy="1219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84446" cy="122020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E1991" w14:textId="77777777" w:rsidR="000C224B" w:rsidRDefault="000C224B">
      <w:r>
        <w:separator/>
      </w:r>
    </w:p>
  </w:footnote>
  <w:footnote w:type="continuationSeparator" w:id="0">
    <w:p w14:paraId="5A94A7A9" w14:textId="77777777" w:rsidR="000C224B" w:rsidRDefault="000C224B">
      <w:r>
        <w:continuationSeparator/>
      </w:r>
    </w:p>
  </w:footnote>
  <w:footnote w:type="continuationNotice" w:id="1">
    <w:p w14:paraId="1B92B13A" w14:textId="77777777" w:rsidR="000C224B" w:rsidRDefault="000C22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1B97A" w14:textId="77777777" w:rsidR="00124703" w:rsidRDefault="00124703">
    <w:pPr>
      <w:pBdr>
        <w:top w:val="nil"/>
        <w:left w:val="nil"/>
        <w:bottom w:val="nil"/>
        <w:right w:val="nil"/>
        <w:between w:val="nil"/>
      </w:pBdr>
      <w:tabs>
        <w:tab w:val="center" w:pos="4320"/>
        <w:tab w:val="right" w:pos="8640"/>
      </w:tabs>
      <w:rPr>
        <w:color w:val="000000"/>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05862" w14:textId="275BC351" w:rsidR="00124703" w:rsidRDefault="005D69ED" w:rsidP="005D69ED">
    <w:pPr>
      <w:pBdr>
        <w:top w:val="nil"/>
        <w:left w:val="nil"/>
        <w:bottom w:val="nil"/>
        <w:right w:val="nil"/>
        <w:between w:val="nil"/>
      </w:pBdr>
      <w:tabs>
        <w:tab w:val="center" w:pos="4320"/>
        <w:tab w:val="right" w:pos="8640"/>
      </w:tabs>
    </w:pPr>
    <w:r>
      <w:rPr>
        <w:noProof/>
        <w:lang w:eastAsia="ro-RO"/>
      </w:rPr>
      <w:drawing>
        <wp:anchor distT="0" distB="0" distL="114300" distR="114300" simplePos="0" relativeHeight="251662848" behindDoc="1" locked="0" layoutInCell="1" allowOverlap="1" wp14:anchorId="0660CD27" wp14:editId="7EC9C89D">
          <wp:simplePos x="0" y="0"/>
          <wp:positionH relativeFrom="column">
            <wp:posOffset>220134</wp:posOffset>
          </wp:positionH>
          <wp:positionV relativeFrom="paragraph">
            <wp:posOffset>160866</wp:posOffset>
          </wp:positionV>
          <wp:extent cx="5731510" cy="622935"/>
          <wp:effectExtent l="0" t="0" r="0" b="0"/>
          <wp:wrapTight wrapText="bothSides">
            <wp:wrapPolygon edited="0">
              <wp:start x="9548" y="0"/>
              <wp:lineTo x="0" y="2642"/>
              <wp:lineTo x="0" y="20477"/>
              <wp:lineTo x="13712" y="21138"/>
              <wp:lineTo x="14646" y="21138"/>
              <wp:lineTo x="21538" y="18495"/>
              <wp:lineTo x="21538" y="13872"/>
              <wp:lineTo x="19743" y="10569"/>
              <wp:lineTo x="19815" y="4624"/>
              <wp:lineTo x="18235" y="661"/>
              <wp:lineTo x="15005" y="0"/>
              <wp:lineTo x="9548" y="0"/>
            </wp:wrapPolygon>
          </wp:wrapTight>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anchor>
      </w:drawing>
    </w:r>
    <w:r w:rsidR="00124703">
      <w:t xml:space="preserve"> </w:t>
    </w:r>
  </w:p>
  <w:p w14:paraId="487B757D" w14:textId="77777777" w:rsidR="00124703" w:rsidRDefault="00124703" w:rsidP="005D69ED">
    <w:pPr>
      <w:pBdr>
        <w:top w:val="nil"/>
        <w:left w:val="nil"/>
        <w:bottom w:val="nil"/>
        <w:right w:val="nil"/>
        <w:between w:val="nil"/>
      </w:pBdr>
      <w:tabs>
        <w:tab w:val="center" w:pos="4320"/>
        <w:tab w:val="right" w:pos="8640"/>
      </w:tabs>
      <w:rPr>
        <w:color w:val="000000"/>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D8B9F" w14:textId="3034CA1F" w:rsidR="00124703" w:rsidRDefault="00124703">
    <w:pPr>
      <w:pBdr>
        <w:top w:val="nil"/>
        <w:left w:val="nil"/>
        <w:bottom w:val="nil"/>
        <w:right w:val="nil"/>
        <w:between w:val="nil"/>
      </w:pBdr>
      <w:tabs>
        <w:tab w:val="center" w:pos="4320"/>
        <w:tab w:val="right" w:pos="8640"/>
      </w:tabs>
      <w:rPr>
        <w:color w:val="00000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F56D1"/>
    <w:multiLevelType w:val="hybridMultilevel"/>
    <w:tmpl w:val="3FBA30B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0C140AAD"/>
    <w:multiLevelType w:val="hybridMultilevel"/>
    <w:tmpl w:val="E7F2B3E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0D9D7129"/>
    <w:multiLevelType w:val="multilevel"/>
    <w:tmpl w:val="0C601692"/>
    <w:lvl w:ilvl="0">
      <w:start w:val="1"/>
      <w:numFmt w:val="lowerLetter"/>
      <w:lvlText w:val="%1)"/>
      <w:lvlJc w:val="left"/>
      <w:pPr>
        <w:ind w:left="720" w:hanging="360"/>
      </w:pPr>
      <w:rPr>
        <w:rFonts w:ascii="Times New Roman" w:eastAsia="Times New Roman" w:hAnsi="Times New Roman" w:cs="Times New Roman"/>
        <w:b w:val="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AD4468"/>
    <w:multiLevelType w:val="multilevel"/>
    <w:tmpl w:val="1BEED7D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11081EF8"/>
    <w:multiLevelType w:val="multilevel"/>
    <w:tmpl w:val="959C16B6"/>
    <w:lvl w:ilvl="0">
      <w:start w:val="1"/>
      <w:numFmt w:val="lowerLetter"/>
      <w:lvlText w:val="%1)"/>
      <w:lvlJc w:val="left"/>
      <w:pPr>
        <w:ind w:left="765" w:hanging="405"/>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1DC588F"/>
    <w:multiLevelType w:val="hybridMultilevel"/>
    <w:tmpl w:val="DF9E4AE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15:restartNumberingAfterBreak="0">
    <w:nsid w:val="13893281"/>
    <w:multiLevelType w:val="multilevel"/>
    <w:tmpl w:val="6FB25E08"/>
    <w:lvl w:ilvl="0">
      <w:start w:val="1"/>
      <w:numFmt w:val="lowerLetter"/>
      <w:lvlText w:val="%1)"/>
      <w:lvlJc w:val="left"/>
      <w:pPr>
        <w:ind w:left="720" w:hanging="360"/>
      </w:pPr>
      <w:rPr>
        <w:rFonts w:ascii="Times New Roman" w:eastAsia="Times New Roman" w:hAnsi="Times New Roman" w:cs="Times New Roman"/>
        <w:b w:val="0"/>
        <w:u w:val="none"/>
      </w:rPr>
    </w:lvl>
    <w:lvl w:ilvl="1">
      <w:start w:val="1"/>
      <w:numFmt w:val="bullet"/>
      <w:lvlText w:val="❖"/>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79732DB"/>
    <w:multiLevelType w:val="multilevel"/>
    <w:tmpl w:val="850C849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15:restartNumberingAfterBreak="0">
    <w:nsid w:val="1A70637F"/>
    <w:multiLevelType w:val="multilevel"/>
    <w:tmpl w:val="9C9EE7E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15:restartNumberingAfterBreak="0">
    <w:nsid w:val="20936DEC"/>
    <w:multiLevelType w:val="multilevel"/>
    <w:tmpl w:val="8AA4322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15:restartNumberingAfterBreak="0">
    <w:nsid w:val="2D013EF5"/>
    <w:multiLevelType w:val="multilevel"/>
    <w:tmpl w:val="E20200E0"/>
    <w:lvl w:ilvl="0">
      <w:start w:val="1"/>
      <w:numFmt w:val="lowerLetter"/>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3C55681"/>
    <w:multiLevelType w:val="hybridMultilevel"/>
    <w:tmpl w:val="0514137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15:restartNumberingAfterBreak="0">
    <w:nsid w:val="3C39221D"/>
    <w:multiLevelType w:val="multilevel"/>
    <w:tmpl w:val="E49E2030"/>
    <w:lvl w:ilvl="0">
      <w:start w:val="1"/>
      <w:numFmt w:val="lowerLetter"/>
      <w:lvlText w:val="%1)"/>
      <w:lvlJc w:val="left"/>
      <w:pPr>
        <w:ind w:left="720" w:hanging="360"/>
      </w:pPr>
      <w:rPr>
        <w:rFonts w:ascii="Times New Roman" w:eastAsia="Times New Roman" w:hAnsi="Times New Roman" w:cs="Times New Roman"/>
        <w:b w:val="0"/>
        <w:u w:val="none"/>
      </w:rPr>
    </w:lvl>
    <w:lvl w:ilvl="1">
      <w:start w:val="1"/>
      <w:numFmt w:val="bullet"/>
      <w:lvlText w:val="❖"/>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EA62C7E"/>
    <w:multiLevelType w:val="hybridMultilevel"/>
    <w:tmpl w:val="FB9A10E6"/>
    <w:lvl w:ilvl="0" w:tplc="C1264BC8">
      <w:start w:val="1"/>
      <w:numFmt w:val="decimal"/>
      <w:lvlText w:val="%1."/>
      <w:lvlJc w:val="left"/>
      <w:pPr>
        <w:ind w:left="2160" w:hanging="360"/>
      </w:pPr>
      <w:rPr>
        <w:rFonts w:ascii="Times New Roman" w:eastAsia="Times New Roman"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FF42B19"/>
    <w:multiLevelType w:val="multilevel"/>
    <w:tmpl w:val="2F74E87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15:restartNumberingAfterBreak="0">
    <w:nsid w:val="3FF56B7D"/>
    <w:multiLevelType w:val="multilevel"/>
    <w:tmpl w:val="9B62718A"/>
    <w:lvl w:ilvl="0">
      <w:start w:val="1"/>
      <w:numFmt w:val="lowerLetter"/>
      <w:lvlText w:val="%1)"/>
      <w:lvlJc w:val="left"/>
      <w:pPr>
        <w:ind w:left="720" w:hanging="360"/>
      </w:pPr>
    </w:lvl>
    <w:lvl w:ilvl="1">
      <w:start w:val="1"/>
      <w:numFmt w:val="lowerRoman"/>
      <w:lvlText w:val="%2."/>
      <w:lvlJc w:val="righ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51D1D14"/>
    <w:multiLevelType w:val="multilevel"/>
    <w:tmpl w:val="A31C158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7" w15:restartNumberingAfterBreak="0">
    <w:nsid w:val="511A1671"/>
    <w:multiLevelType w:val="multilevel"/>
    <w:tmpl w:val="3260E65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8" w15:restartNumberingAfterBreak="0">
    <w:nsid w:val="58CD00C2"/>
    <w:multiLevelType w:val="multilevel"/>
    <w:tmpl w:val="667CFED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9" w15:restartNumberingAfterBreak="0">
    <w:nsid w:val="5A250535"/>
    <w:multiLevelType w:val="multilevel"/>
    <w:tmpl w:val="C0C4A278"/>
    <w:lvl w:ilvl="0">
      <w:start w:val="1"/>
      <w:numFmt w:val="lowerLetter"/>
      <w:lvlText w:val="%1)"/>
      <w:lvlJc w:val="left"/>
      <w:pPr>
        <w:ind w:left="720" w:hanging="360"/>
      </w:pPr>
      <w:rPr>
        <w:u w:val="none"/>
        <w:shd w:val="clear" w:color="auto" w:fill="auto"/>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0" w15:restartNumberingAfterBreak="0">
    <w:nsid w:val="5BEC3734"/>
    <w:multiLevelType w:val="multilevel"/>
    <w:tmpl w:val="E39460F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1" w15:restartNumberingAfterBreak="0">
    <w:nsid w:val="5D7A5BCC"/>
    <w:multiLevelType w:val="hybridMultilevel"/>
    <w:tmpl w:val="D53038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60055EBE"/>
    <w:multiLevelType w:val="multilevel"/>
    <w:tmpl w:val="B5C618B0"/>
    <w:lvl w:ilvl="0">
      <w:start w:val="1"/>
      <w:numFmt w:val="lowerLetter"/>
      <w:lvlText w:val="%1)"/>
      <w:lvlJc w:val="left"/>
      <w:pPr>
        <w:ind w:left="720" w:hanging="360"/>
      </w:pPr>
      <w:rPr>
        <w:u w:val="none"/>
      </w:rPr>
    </w:lvl>
    <w:lvl w:ilvl="1">
      <w:start w:val="1"/>
      <w:numFmt w:val="lowerRoman"/>
      <w:pStyle w:val="StyleBefore2ptAfter2ptLinespacingExactly12pt1"/>
      <w:lvlText w:val="%2)"/>
      <w:lvlJc w:val="right"/>
      <w:pPr>
        <w:ind w:left="1440" w:hanging="360"/>
      </w:pPr>
      <w:rPr>
        <w:u w:val="none"/>
      </w:rPr>
    </w:lvl>
    <w:lvl w:ilvl="2">
      <w:start w:val="1"/>
      <w:numFmt w:val="decimal"/>
      <w:lvlText w:val="%3."/>
      <w:lvlJc w:val="left"/>
      <w:pPr>
        <w:ind w:left="2160" w:hanging="360"/>
      </w:p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3" w15:restartNumberingAfterBreak="0">
    <w:nsid w:val="61793B03"/>
    <w:multiLevelType w:val="multilevel"/>
    <w:tmpl w:val="69045694"/>
    <w:lvl w:ilvl="0">
      <w:start w:val="1"/>
      <w:numFmt w:val="decimal"/>
      <w:lvlText w:val="%1."/>
      <w:lvlJc w:val="left"/>
      <w:pPr>
        <w:ind w:left="720" w:hanging="360"/>
      </w:pPr>
    </w:lvl>
    <w:lvl w:ilvl="1">
      <w:start w:val="1"/>
      <w:numFmt w:val="lowerRoman"/>
      <w:lvlText w:val="%2."/>
      <w:lvlJc w:val="right"/>
      <w:pPr>
        <w:ind w:left="1440" w:hanging="360"/>
      </w:p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6B32EF2"/>
    <w:multiLevelType w:val="multilevel"/>
    <w:tmpl w:val="54E2D0A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5" w15:restartNumberingAfterBreak="0">
    <w:nsid w:val="6C6A6FE8"/>
    <w:multiLevelType w:val="multilevel"/>
    <w:tmpl w:val="D250DCE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6" w15:restartNumberingAfterBreak="0">
    <w:nsid w:val="744D74BF"/>
    <w:multiLevelType w:val="hybridMultilevel"/>
    <w:tmpl w:val="E3F6D972"/>
    <w:lvl w:ilvl="0" w:tplc="52168EE2">
      <w:start w:val="12"/>
      <w:numFmt w:val="bullet"/>
      <w:lvlText w:val="-"/>
      <w:lvlJc w:val="left"/>
      <w:pPr>
        <w:ind w:left="1776" w:hanging="360"/>
      </w:pPr>
      <w:rPr>
        <w:rFonts w:ascii="Times New Roman" w:eastAsia="Times New Roman" w:hAnsi="Times New Roman" w:cs="Times New Roman"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27" w15:restartNumberingAfterBreak="0">
    <w:nsid w:val="790761FD"/>
    <w:multiLevelType w:val="multilevel"/>
    <w:tmpl w:val="FC12C32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16cid:durableId="1058481006">
    <w:abstractNumId w:val="10"/>
  </w:num>
  <w:num w:numId="2" w16cid:durableId="120268000">
    <w:abstractNumId w:val="27"/>
  </w:num>
  <w:num w:numId="3" w16cid:durableId="1952546451">
    <w:abstractNumId w:val="22"/>
  </w:num>
  <w:num w:numId="4" w16cid:durableId="1857423438">
    <w:abstractNumId w:val="19"/>
  </w:num>
  <w:num w:numId="5" w16cid:durableId="504515435">
    <w:abstractNumId w:val="12"/>
  </w:num>
  <w:num w:numId="6" w16cid:durableId="532499998">
    <w:abstractNumId w:val="25"/>
  </w:num>
  <w:num w:numId="7" w16cid:durableId="1696350408">
    <w:abstractNumId w:val="4"/>
  </w:num>
  <w:num w:numId="8" w16cid:durableId="1268152855">
    <w:abstractNumId w:val="14"/>
  </w:num>
  <w:num w:numId="9" w16cid:durableId="1258561701">
    <w:abstractNumId w:val="17"/>
  </w:num>
  <w:num w:numId="10" w16cid:durableId="1625190061">
    <w:abstractNumId w:val="6"/>
  </w:num>
  <w:num w:numId="11" w16cid:durableId="290284339">
    <w:abstractNumId w:val="9"/>
  </w:num>
  <w:num w:numId="12" w16cid:durableId="984553796">
    <w:abstractNumId w:val="15"/>
  </w:num>
  <w:num w:numId="13" w16cid:durableId="753822872">
    <w:abstractNumId w:val="3"/>
  </w:num>
  <w:num w:numId="14" w16cid:durableId="849955272">
    <w:abstractNumId w:val="24"/>
  </w:num>
  <w:num w:numId="15" w16cid:durableId="711199225">
    <w:abstractNumId w:val="7"/>
  </w:num>
  <w:num w:numId="16" w16cid:durableId="137966013">
    <w:abstractNumId w:val="16"/>
  </w:num>
  <w:num w:numId="17" w16cid:durableId="285896542">
    <w:abstractNumId w:val="5"/>
  </w:num>
  <w:num w:numId="18" w16cid:durableId="15010827">
    <w:abstractNumId w:val="1"/>
  </w:num>
  <w:num w:numId="19" w16cid:durableId="11151962">
    <w:abstractNumId w:val="11"/>
  </w:num>
  <w:num w:numId="20" w16cid:durableId="1781992506">
    <w:abstractNumId w:val="0"/>
  </w:num>
  <w:num w:numId="21" w16cid:durableId="893585089">
    <w:abstractNumId w:val="21"/>
  </w:num>
  <w:num w:numId="22" w16cid:durableId="2121995995">
    <w:abstractNumId w:val="8"/>
  </w:num>
  <w:num w:numId="23" w16cid:durableId="1730492782">
    <w:abstractNumId w:val="20"/>
  </w:num>
  <w:num w:numId="24" w16cid:durableId="1325157867">
    <w:abstractNumId w:val="26"/>
  </w:num>
  <w:num w:numId="25" w16cid:durableId="1745027627">
    <w:abstractNumId w:val="13"/>
  </w:num>
  <w:num w:numId="26" w16cid:durableId="1775468383">
    <w:abstractNumId w:val="18"/>
  </w:num>
  <w:num w:numId="27" w16cid:durableId="1614557581">
    <w:abstractNumId w:val="2"/>
  </w:num>
  <w:num w:numId="28" w16cid:durableId="467826139">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4A6"/>
    <w:rsid w:val="00002928"/>
    <w:rsid w:val="00003BFB"/>
    <w:rsid w:val="000068F5"/>
    <w:rsid w:val="00011E5E"/>
    <w:rsid w:val="00014D21"/>
    <w:rsid w:val="00020508"/>
    <w:rsid w:val="0002767D"/>
    <w:rsid w:val="00036772"/>
    <w:rsid w:val="00051F51"/>
    <w:rsid w:val="00053C23"/>
    <w:rsid w:val="0005658A"/>
    <w:rsid w:val="00083B15"/>
    <w:rsid w:val="000841A3"/>
    <w:rsid w:val="00087F4B"/>
    <w:rsid w:val="000A57BA"/>
    <w:rsid w:val="000A6BB6"/>
    <w:rsid w:val="000B3432"/>
    <w:rsid w:val="000C224B"/>
    <w:rsid w:val="000E7EC9"/>
    <w:rsid w:val="000F2738"/>
    <w:rsid w:val="000F3EF5"/>
    <w:rsid w:val="0010590E"/>
    <w:rsid w:val="00111C74"/>
    <w:rsid w:val="00112BE7"/>
    <w:rsid w:val="0012323A"/>
    <w:rsid w:val="00124703"/>
    <w:rsid w:val="00124AB8"/>
    <w:rsid w:val="00133574"/>
    <w:rsid w:val="001347B9"/>
    <w:rsid w:val="00135922"/>
    <w:rsid w:val="00173C11"/>
    <w:rsid w:val="0018243C"/>
    <w:rsid w:val="001862DC"/>
    <w:rsid w:val="001915CB"/>
    <w:rsid w:val="001A796B"/>
    <w:rsid w:val="001B2D96"/>
    <w:rsid w:val="001D0744"/>
    <w:rsid w:val="001E09BB"/>
    <w:rsid w:val="001F1D4F"/>
    <w:rsid w:val="001F355E"/>
    <w:rsid w:val="001F65D1"/>
    <w:rsid w:val="001F74B0"/>
    <w:rsid w:val="002100E3"/>
    <w:rsid w:val="002344D8"/>
    <w:rsid w:val="002413A7"/>
    <w:rsid w:val="0026433F"/>
    <w:rsid w:val="00267226"/>
    <w:rsid w:val="00283203"/>
    <w:rsid w:val="002A759C"/>
    <w:rsid w:val="002C23F9"/>
    <w:rsid w:val="002E0EE7"/>
    <w:rsid w:val="002F2F0E"/>
    <w:rsid w:val="0030419D"/>
    <w:rsid w:val="003112C4"/>
    <w:rsid w:val="00314D3C"/>
    <w:rsid w:val="003169DF"/>
    <w:rsid w:val="00326CC6"/>
    <w:rsid w:val="00342A09"/>
    <w:rsid w:val="003500BA"/>
    <w:rsid w:val="0035312C"/>
    <w:rsid w:val="0036124E"/>
    <w:rsid w:val="00364B74"/>
    <w:rsid w:val="00371D57"/>
    <w:rsid w:val="00381AE5"/>
    <w:rsid w:val="00382817"/>
    <w:rsid w:val="00383262"/>
    <w:rsid w:val="00385C69"/>
    <w:rsid w:val="003938FF"/>
    <w:rsid w:val="003A5F38"/>
    <w:rsid w:val="003C3915"/>
    <w:rsid w:val="003C5687"/>
    <w:rsid w:val="003E3A2B"/>
    <w:rsid w:val="003F0F65"/>
    <w:rsid w:val="003F11C7"/>
    <w:rsid w:val="00402A36"/>
    <w:rsid w:val="00403DEF"/>
    <w:rsid w:val="00410F1D"/>
    <w:rsid w:val="00414A85"/>
    <w:rsid w:val="00436B8F"/>
    <w:rsid w:val="004435B4"/>
    <w:rsid w:val="00456E8C"/>
    <w:rsid w:val="0046016A"/>
    <w:rsid w:val="00476739"/>
    <w:rsid w:val="00481B52"/>
    <w:rsid w:val="0048518E"/>
    <w:rsid w:val="00487A0B"/>
    <w:rsid w:val="004A7198"/>
    <w:rsid w:val="004B382E"/>
    <w:rsid w:val="004D51AC"/>
    <w:rsid w:val="004D51E0"/>
    <w:rsid w:val="004E4026"/>
    <w:rsid w:val="00533E3C"/>
    <w:rsid w:val="00542931"/>
    <w:rsid w:val="00550945"/>
    <w:rsid w:val="00554491"/>
    <w:rsid w:val="0055484B"/>
    <w:rsid w:val="00556AAF"/>
    <w:rsid w:val="005602B7"/>
    <w:rsid w:val="005659C8"/>
    <w:rsid w:val="00594133"/>
    <w:rsid w:val="00594221"/>
    <w:rsid w:val="0059765D"/>
    <w:rsid w:val="005A1029"/>
    <w:rsid w:val="005B31CD"/>
    <w:rsid w:val="005D0DFD"/>
    <w:rsid w:val="005D69ED"/>
    <w:rsid w:val="0060254F"/>
    <w:rsid w:val="006045E0"/>
    <w:rsid w:val="00607F4D"/>
    <w:rsid w:val="00624FA1"/>
    <w:rsid w:val="006250B1"/>
    <w:rsid w:val="00627987"/>
    <w:rsid w:val="00637081"/>
    <w:rsid w:val="0063708D"/>
    <w:rsid w:val="00646D16"/>
    <w:rsid w:val="0064714E"/>
    <w:rsid w:val="006475A0"/>
    <w:rsid w:val="00650E06"/>
    <w:rsid w:val="00652CB6"/>
    <w:rsid w:val="00672896"/>
    <w:rsid w:val="00685230"/>
    <w:rsid w:val="00686D04"/>
    <w:rsid w:val="00686FE2"/>
    <w:rsid w:val="006B638E"/>
    <w:rsid w:val="006D077E"/>
    <w:rsid w:val="006D5FD6"/>
    <w:rsid w:val="00704B3A"/>
    <w:rsid w:val="00711A79"/>
    <w:rsid w:val="00715EBF"/>
    <w:rsid w:val="0072189F"/>
    <w:rsid w:val="007426F9"/>
    <w:rsid w:val="00754EEB"/>
    <w:rsid w:val="0077280A"/>
    <w:rsid w:val="007755B8"/>
    <w:rsid w:val="00797B54"/>
    <w:rsid w:val="007A3456"/>
    <w:rsid w:val="007A7C46"/>
    <w:rsid w:val="007C0E30"/>
    <w:rsid w:val="007C3714"/>
    <w:rsid w:val="007D3699"/>
    <w:rsid w:val="007D69E5"/>
    <w:rsid w:val="007F057A"/>
    <w:rsid w:val="008016FC"/>
    <w:rsid w:val="00806678"/>
    <w:rsid w:val="00807F3B"/>
    <w:rsid w:val="00811F09"/>
    <w:rsid w:val="00850496"/>
    <w:rsid w:val="00867351"/>
    <w:rsid w:val="00895E2C"/>
    <w:rsid w:val="008B2BFC"/>
    <w:rsid w:val="008C0DE0"/>
    <w:rsid w:val="008D0445"/>
    <w:rsid w:val="008D1807"/>
    <w:rsid w:val="0090231C"/>
    <w:rsid w:val="009023F5"/>
    <w:rsid w:val="00902CC8"/>
    <w:rsid w:val="009164A6"/>
    <w:rsid w:val="0091670C"/>
    <w:rsid w:val="00943DB6"/>
    <w:rsid w:val="00974B93"/>
    <w:rsid w:val="009B5632"/>
    <w:rsid w:val="009F752E"/>
    <w:rsid w:val="00A10F61"/>
    <w:rsid w:val="00A510D6"/>
    <w:rsid w:val="00A61888"/>
    <w:rsid w:val="00A74738"/>
    <w:rsid w:val="00A81A61"/>
    <w:rsid w:val="00A92567"/>
    <w:rsid w:val="00AA2CC4"/>
    <w:rsid w:val="00AD0482"/>
    <w:rsid w:val="00AD2375"/>
    <w:rsid w:val="00AD5500"/>
    <w:rsid w:val="00AD7CC7"/>
    <w:rsid w:val="00AE0DCA"/>
    <w:rsid w:val="00AE1C7C"/>
    <w:rsid w:val="00AE3696"/>
    <w:rsid w:val="00B0328C"/>
    <w:rsid w:val="00B07FFA"/>
    <w:rsid w:val="00B134C3"/>
    <w:rsid w:val="00B16B81"/>
    <w:rsid w:val="00B17268"/>
    <w:rsid w:val="00B33DAD"/>
    <w:rsid w:val="00B5340E"/>
    <w:rsid w:val="00B6160F"/>
    <w:rsid w:val="00B71EB3"/>
    <w:rsid w:val="00B74C36"/>
    <w:rsid w:val="00B82867"/>
    <w:rsid w:val="00B833AA"/>
    <w:rsid w:val="00B923FE"/>
    <w:rsid w:val="00BB6DB4"/>
    <w:rsid w:val="00BD782C"/>
    <w:rsid w:val="00BF31CF"/>
    <w:rsid w:val="00C0006A"/>
    <w:rsid w:val="00C02991"/>
    <w:rsid w:val="00C049B0"/>
    <w:rsid w:val="00C13F6A"/>
    <w:rsid w:val="00C24223"/>
    <w:rsid w:val="00C31BE1"/>
    <w:rsid w:val="00C43944"/>
    <w:rsid w:val="00C44673"/>
    <w:rsid w:val="00C5166B"/>
    <w:rsid w:val="00C52EE9"/>
    <w:rsid w:val="00C54B04"/>
    <w:rsid w:val="00C55E66"/>
    <w:rsid w:val="00C66E6D"/>
    <w:rsid w:val="00C75B39"/>
    <w:rsid w:val="00C923BB"/>
    <w:rsid w:val="00CA4BED"/>
    <w:rsid w:val="00CB0D71"/>
    <w:rsid w:val="00CC0613"/>
    <w:rsid w:val="00CC258E"/>
    <w:rsid w:val="00CD453A"/>
    <w:rsid w:val="00CE2559"/>
    <w:rsid w:val="00CF2AE1"/>
    <w:rsid w:val="00CF41FA"/>
    <w:rsid w:val="00D14F1B"/>
    <w:rsid w:val="00D223D6"/>
    <w:rsid w:val="00D32501"/>
    <w:rsid w:val="00D33E23"/>
    <w:rsid w:val="00D35E06"/>
    <w:rsid w:val="00D41295"/>
    <w:rsid w:val="00D45C5B"/>
    <w:rsid w:val="00D65C45"/>
    <w:rsid w:val="00D81291"/>
    <w:rsid w:val="00D82AD3"/>
    <w:rsid w:val="00D8653C"/>
    <w:rsid w:val="00D86685"/>
    <w:rsid w:val="00D97356"/>
    <w:rsid w:val="00D97C56"/>
    <w:rsid w:val="00DB017E"/>
    <w:rsid w:val="00DD1051"/>
    <w:rsid w:val="00DD3309"/>
    <w:rsid w:val="00DE3CD7"/>
    <w:rsid w:val="00DE6667"/>
    <w:rsid w:val="00DF7DF0"/>
    <w:rsid w:val="00E07DF6"/>
    <w:rsid w:val="00E161A2"/>
    <w:rsid w:val="00E24591"/>
    <w:rsid w:val="00E519A1"/>
    <w:rsid w:val="00E5446B"/>
    <w:rsid w:val="00E627E3"/>
    <w:rsid w:val="00E635D2"/>
    <w:rsid w:val="00E66E76"/>
    <w:rsid w:val="00EA0386"/>
    <w:rsid w:val="00EA0E2D"/>
    <w:rsid w:val="00EA1E02"/>
    <w:rsid w:val="00EA6D70"/>
    <w:rsid w:val="00ED24CE"/>
    <w:rsid w:val="00ED2E33"/>
    <w:rsid w:val="00ED3AF8"/>
    <w:rsid w:val="00ED5F5A"/>
    <w:rsid w:val="00EE6AAC"/>
    <w:rsid w:val="00EF025E"/>
    <w:rsid w:val="00F0209D"/>
    <w:rsid w:val="00F206C8"/>
    <w:rsid w:val="00F31839"/>
    <w:rsid w:val="00F44B56"/>
    <w:rsid w:val="00F5702F"/>
    <w:rsid w:val="00F7549F"/>
    <w:rsid w:val="00F82833"/>
    <w:rsid w:val="00F853FC"/>
    <w:rsid w:val="00F91342"/>
    <w:rsid w:val="00F96931"/>
    <w:rsid w:val="00FA35ED"/>
    <w:rsid w:val="00FA3A16"/>
    <w:rsid w:val="00FA41BB"/>
    <w:rsid w:val="00FC51A6"/>
    <w:rsid w:val="00FE1B6D"/>
    <w:rsid w:val="00FE50AC"/>
    <w:rsid w:val="00FE540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E6D42"/>
  <w15:docId w15:val="{1E1DCD1A-854E-443D-90BE-876B32146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ro-RO"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712C"/>
    <w:rPr>
      <w:szCs w:val="22"/>
      <w:lang w:eastAsia="en-US"/>
    </w:rPr>
  </w:style>
  <w:style w:type="paragraph" w:styleId="Heading1">
    <w:name w:val="heading 1"/>
    <w:basedOn w:val="Normal"/>
    <w:link w:val="Heading1Char"/>
    <w:uiPriority w:val="9"/>
    <w:qFormat/>
    <w:rsid w:val="00051F51"/>
    <w:pPr>
      <w:spacing w:before="480" w:after="360"/>
      <w:outlineLvl w:val="0"/>
    </w:pPr>
    <w:rPr>
      <w:rFonts w:ascii="Cambria" w:hAnsi="Cambria"/>
      <w:b/>
      <w:bCs/>
      <w:szCs w:val="24"/>
    </w:rPr>
  </w:style>
  <w:style w:type="paragraph" w:styleId="Heading2">
    <w:name w:val="heading 2"/>
    <w:basedOn w:val="Normal"/>
    <w:next w:val="Normal"/>
    <w:link w:val="Heading2Char"/>
    <w:uiPriority w:val="9"/>
    <w:semiHidden/>
    <w:unhideWhenUsed/>
    <w:qFormat/>
    <w:rsid w:val="00290185"/>
    <w:pPr>
      <w:keepNext/>
      <w:keepLines/>
      <w:spacing w:before="200"/>
      <w:outlineLvl w:val="1"/>
    </w:pPr>
    <w:rPr>
      <w:rFonts w:ascii="Cambria" w:hAnsi="Cambria"/>
      <w:b/>
      <w:bCs/>
      <w:color w:val="4F81BD"/>
      <w:sz w:val="26"/>
      <w:szCs w:val="26"/>
    </w:rPr>
  </w:style>
  <w:style w:type="paragraph" w:styleId="Heading3">
    <w:name w:val="heading 3"/>
    <w:basedOn w:val="Normal"/>
    <w:next w:val="Normal"/>
    <w:uiPriority w:val="9"/>
    <w:semiHidden/>
    <w:unhideWhenUsed/>
    <w:qFormat/>
    <w:rsid w:val="001A796B"/>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1A796B"/>
    <w:pPr>
      <w:keepNext/>
      <w:keepLines/>
      <w:spacing w:before="240" w:after="40"/>
      <w:outlineLvl w:val="3"/>
    </w:pPr>
    <w:rPr>
      <w:b/>
      <w:szCs w:val="24"/>
    </w:rPr>
  </w:style>
  <w:style w:type="paragraph" w:styleId="Heading5">
    <w:name w:val="heading 5"/>
    <w:basedOn w:val="Normal"/>
    <w:next w:val="Normal"/>
    <w:uiPriority w:val="9"/>
    <w:semiHidden/>
    <w:unhideWhenUsed/>
    <w:qFormat/>
    <w:rsid w:val="001A796B"/>
    <w:pPr>
      <w:keepNext/>
      <w:keepLines/>
      <w:spacing w:before="220" w:after="40"/>
      <w:outlineLvl w:val="4"/>
    </w:pPr>
    <w:rPr>
      <w:b/>
      <w:sz w:val="22"/>
    </w:rPr>
  </w:style>
  <w:style w:type="paragraph" w:styleId="Heading6">
    <w:name w:val="heading 6"/>
    <w:basedOn w:val="Normal"/>
    <w:next w:val="Normal"/>
    <w:uiPriority w:val="9"/>
    <w:semiHidden/>
    <w:unhideWhenUsed/>
    <w:qFormat/>
    <w:rsid w:val="001A796B"/>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1A796B"/>
    <w:pPr>
      <w:keepNext/>
      <w:keepLines/>
      <w:spacing w:before="480" w:after="120"/>
    </w:pPr>
    <w:rPr>
      <w:b/>
      <w:sz w:val="72"/>
      <w:szCs w:val="72"/>
    </w:rPr>
  </w:style>
  <w:style w:type="character" w:customStyle="1" w:styleId="Heading1Char">
    <w:name w:val="Heading 1 Char"/>
    <w:link w:val="Heading1"/>
    <w:locked/>
    <w:rsid w:val="00E257C4"/>
    <w:rPr>
      <w:rFonts w:ascii="Cambria" w:hAnsi="Cambria"/>
      <w:b/>
      <w:bCs/>
      <w:sz w:val="24"/>
      <w:szCs w:val="24"/>
      <w:lang w:val="en-US" w:eastAsia="en-US"/>
    </w:rPr>
  </w:style>
  <w:style w:type="character" w:customStyle="1" w:styleId="Heading2Char">
    <w:name w:val="Heading 2 Char"/>
    <w:link w:val="Heading2"/>
    <w:semiHidden/>
    <w:locked/>
    <w:rsid w:val="00290185"/>
    <w:rPr>
      <w:rFonts w:ascii="Cambria" w:eastAsia="Calibri" w:hAnsi="Cambria"/>
      <w:b/>
      <w:bCs/>
      <w:color w:val="4F81BD"/>
      <w:sz w:val="26"/>
      <w:szCs w:val="26"/>
      <w:lang w:val="en-US" w:eastAsia="en-US" w:bidi="ar-SA"/>
    </w:rPr>
  </w:style>
  <w:style w:type="paragraph" w:styleId="BalloonText">
    <w:name w:val="Balloon Text"/>
    <w:basedOn w:val="Normal"/>
    <w:link w:val="BalloonTextChar"/>
    <w:semiHidden/>
    <w:rsid w:val="00290185"/>
    <w:rPr>
      <w:rFonts w:ascii="Tahoma" w:hAnsi="Tahoma" w:cs="Tahoma"/>
      <w:sz w:val="16"/>
      <w:szCs w:val="16"/>
    </w:rPr>
  </w:style>
  <w:style w:type="character" w:customStyle="1" w:styleId="BalloonTextChar">
    <w:name w:val="Balloon Text Char"/>
    <w:link w:val="BalloonText"/>
    <w:semiHidden/>
    <w:locked/>
    <w:rsid w:val="00290185"/>
    <w:rPr>
      <w:rFonts w:ascii="Tahoma" w:hAnsi="Tahoma" w:cs="Tahoma"/>
      <w:sz w:val="16"/>
      <w:szCs w:val="16"/>
      <w:lang w:val="en-US" w:eastAsia="en-US" w:bidi="ar-SA"/>
    </w:rPr>
  </w:style>
  <w:style w:type="paragraph" w:styleId="BodyText">
    <w:name w:val="Body Text"/>
    <w:basedOn w:val="Normal"/>
    <w:link w:val="BodyTextChar"/>
    <w:rsid w:val="00290185"/>
    <w:pPr>
      <w:ind w:left="116"/>
    </w:pPr>
    <w:rPr>
      <w:rFonts w:ascii="Arial" w:hAnsi="Arial"/>
      <w:szCs w:val="24"/>
    </w:rPr>
  </w:style>
  <w:style w:type="character" w:customStyle="1" w:styleId="BodyTextChar">
    <w:name w:val="Body Text Char"/>
    <w:link w:val="BodyText"/>
    <w:semiHidden/>
    <w:locked/>
    <w:rsid w:val="00290185"/>
    <w:rPr>
      <w:rFonts w:ascii="Arial" w:hAnsi="Arial"/>
      <w:sz w:val="24"/>
      <w:szCs w:val="24"/>
      <w:lang w:val="en-US" w:eastAsia="en-US" w:bidi="ar-SA"/>
    </w:rPr>
  </w:style>
  <w:style w:type="paragraph" w:customStyle="1" w:styleId="ListParagraph1">
    <w:name w:val="List Paragraph1"/>
    <w:basedOn w:val="Normal"/>
    <w:qFormat/>
    <w:rsid w:val="00290185"/>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qFormat/>
    <w:rsid w:val="00290185"/>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qFormat/>
    <w:locked/>
    <w:rsid w:val="00290185"/>
    <w:rPr>
      <w:rFonts w:ascii="Calibri" w:hAnsi="Calibri"/>
      <w:lang w:val="en-US" w:eastAsia="en-US" w:bidi="ar-SA"/>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link w:val="BVIfnrChar1Char"/>
    <w:uiPriority w:val="99"/>
    <w:qFormat/>
    <w:rsid w:val="00290185"/>
    <w:rPr>
      <w:rFonts w:cs="Times New Roman"/>
      <w:vertAlign w:val="superscript"/>
    </w:rPr>
  </w:style>
  <w:style w:type="paragraph" w:styleId="CommentText">
    <w:name w:val="annotation text"/>
    <w:basedOn w:val="Normal"/>
    <w:link w:val="CommentTextChar"/>
    <w:uiPriority w:val="99"/>
    <w:rsid w:val="00290185"/>
    <w:rPr>
      <w:sz w:val="20"/>
      <w:szCs w:val="20"/>
    </w:rPr>
  </w:style>
  <w:style w:type="character" w:customStyle="1" w:styleId="CommentTextChar">
    <w:name w:val="Comment Text Char"/>
    <w:link w:val="CommentText"/>
    <w:uiPriority w:val="99"/>
    <w:locked/>
    <w:rsid w:val="00290185"/>
    <w:rPr>
      <w:rFonts w:ascii="Calibri" w:hAnsi="Calibri"/>
      <w:lang w:val="en-US" w:eastAsia="en-US" w:bidi="ar-SA"/>
    </w:rPr>
  </w:style>
  <w:style w:type="paragraph" w:styleId="CommentSubject">
    <w:name w:val="annotation subject"/>
    <w:basedOn w:val="CommentText"/>
    <w:next w:val="CommentText"/>
    <w:link w:val="CommentSubjectChar"/>
    <w:semiHidden/>
    <w:rsid w:val="00290185"/>
    <w:rPr>
      <w:b/>
      <w:bCs/>
    </w:rPr>
  </w:style>
  <w:style w:type="character" w:customStyle="1" w:styleId="CommentSubjectChar">
    <w:name w:val="Comment Subject Char"/>
    <w:link w:val="CommentSubject"/>
    <w:semiHidden/>
    <w:locked/>
    <w:rsid w:val="00290185"/>
    <w:rPr>
      <w:rFonts w:ascii="Calibri" w:hAnsi="Calibri"/>
      <w:b/>
      <w:bCs/>
      <w:lang w:val="en-US" w:eastAsia="en-US" w:bidi="ar-SA"/>
    </w:rPr>
  </w:style>
  <w:style w:type="paragraph" w:customStyle="1" w:styleId="Default">
    <w:name w:val="Default"/>
    <w:rsid w:val="00290185"/>
    <w:pPr>
      <w:autoSpaceDE w:val="0"/>
      <w:autoSpaceDN w:val="0"/>
      <w:adjustRightInd w:val="0"/>
    </w:pPr>
    <w:rPr>
      <w:rFonts w:ascii="Arial" w:hAnsi="Arial" w:cs="Arial"/>
      <w:color w:val="000000"/>
      <w:lang w:eastAsia="en-US"/>
    </w:rPr>
  </w:style>
  <w:style w:type="paragraph" w:styleId="Header">
    <w:name w:val="header"/>
    <w:basedOn w:val="Normal"/>
    <w:link w:val="HeaderChar"/>
    <w:uiPriority w:val="99"/>
    <w:rsid w:val="00290185"/>
    <w:pPr>
      <w:tabs>
        <w:tab w:val="center" w:pos="4320"/>
        <w:tab w:val="right" w:pos="8640"/>
      </w:tabs>
    </w:pPr>
  </w:style>
  <w:style w:type="character" w:customStyle="1" w:styleId="HeaderChar">
    <w:name w:val="Header Char"/>
    <w:link w:val="Header"/>
    <w:uiPriority w:val="99"/>
    <w:locked/>
    <w:rsid w:val="00290185"/>
    <w:rPr>
      <w:rFonts w:ascii="Calibri" w:hAnsi="Calibri"/>
      <w:sz w:val="22"/>
      <w:szCs w:val="22"/>
      <w:lang w:val="en-US" w:eastAsia="en-US" w:bidi="ar-SA"/>
    </w:rPr>
  </w:style>
  <w:style w:type="paragraph" w:styleId="Footer">
    <w:name w:val="footer"/>
    <w:basedOn w:val="Normal"/>
    <w:link w:val="FooterChar"/>
    <w:uiPriority w:val="99"/>
    <w:rsid w:val="00290185"/>
    <w:pPr>
      <w:tabs>
        <w:tab w:val="center" w:pos="4320"/>
        <w:tab w:val="right" w:pos="8640"/>
      </w:tabs>
    </w:pPr>
  </w:style>
  <w:style w:type="character" w:customStyle="1" w:styleId="FooterChar">
    <w:name w:val="Footer Char"/>
    <w:link w:val="Footer"/>
    <w:uiPriority w:val="99"/>
    <w:locked/>
    <w:rsid w:val="00290185"/>
    <w:rPr>
      <w:rFonts w:ascii="Calibri" w:hAnsi="Calibri"/>
      <w:sz w:val="22"/>
      <w:szCs w:val="22"/>
      <w:lang w:val="en-US" w:eastAsia="en-US" w:bidi="ar-SA"/>
    </w:rPr>
  </w:style>
  <w:style w:type="numbering" w:customStyle="1" w:styleId="StyleNumbered">
    <w:name w:val="Style Numbered"/>
    <w:basedOn w:val="NoList"/>
    <w:rsid w:val="000F712C"/>
  </w:style>
  <w:style w:type="numbering" w:customStyle="1" w:styleId="StyleNumbered1">
    <w:name w:val="Style Numbered1"/>
    <w:basedOn w:val="NoList"/>
    <w:rsid w:val="00E257C4"/>
  </w:style>
  <w:style w:type="character" w:styleId="Hyperlink">
    <w:name w:val="Hyperlink"/>
    <w:uiPriority w:val="99"/>
    <w:rsid w:val="00BF6ACC"/>
    <w:rPr>
      <w:rFonts w:cs="Times New Roman"/>
      <w:color w:val="0000FF"/>
      <w:u w:val="single"/>
    </w:rPr>
  </w:style>
  <w:style w:type="paragraph" w:customStyle="1" w:styleId="StyleBefore2ptAfter2ptLinespacingExactly12pt1">
    <w:name w:val="Style Before:  2 pt After:  2 pt Line spacing:  Exactly 12 pt1"/>
    <w:basedOn w:val="Normal"/>
    <w:rsid w:val="00BF6ACC"/>
    <w:pPr>
      <w:numPr>
        <w:ilvl w:val="1"/>
        <w:numId w:val="3"/>
      </w:numPr>
    </w:pPr>
  </w:style>
  <w:style w:type="character" w:styleId="CommentReference">
    <w:name w:val="annotation reference"/>
    <w:uiPriority w:val="99"/>
    <w:rsid w:val="00550042"/>
    <w:rPr>
      <w:sz w:val="16"/>
      <w:szCs w:val="16"/>
    </w:rPr>
  </w:style>
  <w:style w:type="numbering" w:customStyle="1" w:styleId="StyleNumbered2">
    <w:name w:val="Style Numbered2"/>
    <w:basedOn w:val="NoList"/>
    <w:rsid w:val="001C709C"/>
  </w:style>
  <w:style w:type="character" w:styleId="PageNumber">
    <w:name w:val="page number"/>
    <w:basedOn w:val="DefaultParagraphFont"/>
    <w:rsid w:val="00CD454D"/>
  </w:style>
  <w:style w:type="paragraph" w:styleId="Revision">
    <w:name w:val="Revision"/>
    <w:hidden/>
    <w:uiPriority w:val="99"/>
    <w:semiHidden/>
    <w:rsid w:val="001A687E"/>
    <w:rPr>
      <w:szCs w:val="22"/>
      <w:lang w:eastAsia="en-US"/>
    </w:rPr>
  </w:style>
  <w:style w:type="paragraph" w:styleId="ListParagraph">
    <w:name w:val="List Paragraph"/>
    <w:aliases w:val="Normal bullet 2,body 2,List Paragraph11,List Paragraph111,Antes de enumeración,Listă colorată - Accentuare 11,Bullet,Citation List,Akapit z listą BS,Outlines a.b.c.,List_Paragraph,Multilevel para_II,Akapit z lista BS,List1,Forth level"/>
    <w:basedOn w:val="Normal"/>
    <w:link w:val="ListParagraphChar"/>
    <w:uiPriority w:val="34"/>
    <w:qFormat/>
    <w:rsid w:val="00723231"/>
    <w:pPr>
      <w:widowControl/>
      <w:spacing w:after="160" w:line="259" w:lineRule="auto"/>
      <w:ind w:left="720"/>
      <w:contextualSpacing/>
    </w:pPr>
  </w:style>
  <w:style w:type="character" w:customStyle="1" w:styleId="ListParagraphChar">
    <w:name w:val="List Paragraph Char"/>
    <w:aliases w:val="Normal bullet 2 Char,body 2 Char,List Paragraph11 Char,List Paragraph111 Char,Antes de enumeración Char,Listă colorată - Accentuare 11 Char,Bullet Char,Citation List Char,Akapit z listą BS Char,Outlines a.b.c. Char,List1 Char"/>
    <w:link w:val="ListParagraph"/>
    <w:uiPriority w:val="34"/>
    <w:qFormat/>
    <w:locked/>
    <w:rsid w:val="00723231"/>
    <w:rPr>
      <w:rFonts w:ascii="Calibri" w:eastAsia="Calibri" w:hAnsi="Calibri"/>
      <w:sz w:val="24"/>
      <w:szCs w:val="22"/>
    </w:rPr>
  </w:style>
  <w:style w:type="character" w:customStyle="1" w:styleId="apple-converted-space">
    <w:name w:val="apple-converted-space"/>
    <w:rsid w:val="00C468EC"/>
  </w:style>
  <w:style w:type="table" w:styleId="TableGrid">
    <w:name w:val="Table Grid"/>
    <w:basedOn w:val="TableNormal"/>
    <w:uiPriority w:val="39"/>
    <w:rsid w:val="00E03B9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31525"/>
    <w:pPr>
      <w:widowControl/>
      <w:spacing w:before="100" w:beforeAutospacing="1" w:after="100" w:afterAutospacing="1"/>
      <w:jc w:val="left"/>
    </w:pPr>
    <w:rPr>
      <w:rFonts w:ascii="Times New Roman" w:hAnsi="Times New Roman"/>
      <w:szCs w:val="24"/>
    </w:rPr>
  </w:style>
  <w:style w:type="character" w:customStyle="1" w:styleId="grame">
    <w:name w:val="grame"/>
    <w:rsid w:val="006B720A"/>
  </w:style>
  <w:style w:type="paragraph" w:styleId="PlainText">
    <w:name w:val="Plain Text"/>
    <w:basedOn w:val="Normal"/>
    <w:link w:val="PlainTextChar"/>
    <w:uiPriority w:val="99"/>
    <w:unhideWhenUsed/>
    <w:rsid w:val="00004D5A"/>
    <w:pPr>
      <w:widowControl/>
      <w:jc w:val="left"/>
    </w:pPr>
    <w:rPr>
      <w:sz w:val="22"/>
      <w:szCs w:val="21"/>
    </w:rPr>
  </w:style>
  <w:style w:type="character" w:customStyle="1" w:styleId="PlainTextChar">
    <w:name w:val="Plain Text Char"/>
    <w:link w:val="PlainText"/>
    <w:uiPriority w:val="99"/>
    <w:rsid w:val="00004D5A"/>
    <w:rPr>
      <w:rFonts w:ascii="Calibri" w:eastAsia="Calibri" w:hAnsi="Calibri"/>
      <w:sz w:val="22"/>
      <w:szCs w:val="21"/>
    </w:rPr>
  </w:style>
  <w:style w:type="character" w:customStyle="1" w:styleId="UnresolvedMention1">
    <w:name w:val="Unresolved Mention1"/>
    <w:uiPriority w:val="99"/>
    <w:semiHidden/>
    <w:unhideWhenUsed/>
    <w:rsid w:val="00440843"/>
    <w:rPr>
      <w:color w:val="605E5C"/>
      <w:shd w:val="clear" w:color="auto" w:fill="E1DFDD"/>
    </w:rPr>
  </w:style>
  <w:style w:type="character" w:customStyle="1" w:styleId="spar">
    <w:name w:val="s_par"/>
    <w:rsid w:val="00002459"/>
  </w:style>
  <w:style w:type="character" w:customStyle="1" w:styleId="UnresolvedMention2">
    <w:name w:val="Unresolved Mention2"/>
    <w:uiPriority w:val="99"/>
    <w:semiHidden/>
    <w:unhideWhenUsed/>
    <w:rsid w:val="00F00F23"/>
    <w:rPr>
      <w:color w:val="605E5C"/>
      <w:shd w:val="clear" w:color="auto" w:fill="E1DFDD"/>
    </w:rPr>
  </w:style>
  <w:style w:type="paragraph" w:customStyle="1" w:styleId="p1">
    <w:name w:val="p1"/>
    <w:basedOn w:val="Normal"/>
    <w:rsid w:val="005F6F03"/>
    <w:pPr>
      <w:widowControl/>
      <w:spacing w:before="100" w:beforeAutospacing="1" w:after="100" w:afterAutospacing="1"/>
      <w:jc w:val="left"/>
    </w:pPr>
    <w:rPr>
      <w:rFonts w:ascii="Times New Roman" w:hAnsi="Times New Roman"/>
      <w:szCs w:val="24"/>
      <w:lang w:eastAsia="en-GB"/>
    </w:rPr>
  </w:style>
  <w:style w:type="paragraph" w:styleId="Subtitle">
    <w:name w:val="Subtitle"/>
    <w:basedOn w:val="Normal"/>
    <w:next w:val="Normal"/>
    <w:uiPriority w:val="11"/>
    <w:qFormat/>
    <w:rsid w:val="001A796B"/>
    <w:pPr>
      <w:keepNext/>
      <w:keepLines/>
      <w:spacing w:before="360" w:after="80"/>
    </w:pPr>
    <w:rPr>
      <w:rFonts w:ascii="Georgia" w:eastAsia="Georgia" w:hAnsi="Georgia" w:cs="Georgia"/>
      <w:i/>
      <w:color w:val="666666"/>
      <w:sz w:val="48"/>
      <w:szCs w:val="48"/>
    </w:rPr>
  </w:style>
  <w:style w:type="table" w:customStyle="1" w:styleId="3">
    <w:name w:val="3"/>
    <w:basedOn w:val="TableNormal"/>
    <w:rsid w:val="001A796B"/>
    <w:rPr>
      <w:sz w:val="22"/>
      <w:szCs w:val="22"/>
    </w:rPr>
    <w:tblPr>
      <w:tblStyleRowBandSize w:val="1"/>
      <w:tblStyleColBandSize w:val="1"/>
    </w:tblPr>
  </w:style>
  <w:style w:type="table" w:customStyle="1" w:styleId="2">
    <w:name w:val="2"/>
    <w:basedOn w:val="TableNormal"/>
    <w:rsid w:val="001A796B"/>
    <w:tblPr>
      <w:tblStyleRowBandSize w:val="1"/>
      <w:tblStyleColBandSize w:val="1"/>
      <w:tblCellMar>
        <w:top w:w="100" w:type="dxa"/>
        <w:left w:w="100" w:type="dxa"/>
        <w:bottom w:w="100" w:type="dxa"/>
        <w:right w:w="100" w:type="dxa"/>
      </w:tblCellMar>
    </w:tblPr>
  </w:style>
  <w:style w:type="table" w:customStyle="1" w:styleId="1">
    <w:name w:val="1"/>
    <w:basedOn w:val="TableNormal"/>
    <w:rsid w:val="001A796B"/>
    <w:rPr>
      <w:sz w:val="22"/>
      <w:szCs w:val="22"/>
    </w:rPr>
    <w:tblPr>
      <w:tblStyleRowBandSize w:val="1"/>
      <w:tblStyleColBandSize w:val="1"/>
      <w:tblCellMar>
        <w:top w:w="100" w:type="dxa"/>
        <w:left w:w="100" w:type="dxa"/>
        <w:bottom w:w="100" w:type="dxa"/>
        <w:right w:w="100" w:type="dxa"/>
      </w:tblCellMar>
    </w:tblPr>
  </w:style>
  <w:style w:type="paragraph" w:customStyle="1" w:styleId="CM1">
    <w:name w:val="CM1"/>
    <w:basedOn w:val="Default"/>
    <w:next w:val="Default"/>
    <w:uiPriority w:val="99"/>
    <w:rsid w:val="00F82833"/>
    <w:pPr>
      <w:widowControl/>
      <w:jc w:val="left"/>
    </w:pPr>
    <w:rPr>
      <w:rFonts w:ascii="Times New Roman" w:hAnsi="Times New Roman" w:cs="Times New Roman"/>
      <w:color w:val="auto"/>
      <w:lang w:val="ro-RO" w:eastAsia="ro-RO"/>
    </w:rPr>
  </w:style>
  <w:style w:type="paragraph" w:customStyle="1" w:styleId="CM3">
    <w:name w:val="CM3"/>
    <w:basedOn w:val="Default"/>
    <w:next w:val="Default"/>
    <w:uiPriority w:val="99"/>
    <w:rsid w:val="00F82833"/>
    <w:pPr>
      <w:widowControl/>
      <w:jc w:val="left"/>
    </w:pPr>
    <w:rPr>
      <w:rFonts w:ascii="Times New Roman" w:hAnsi="Times New Roman" w:cs="Times New Roman"/>
      <w:color w:val="auto"/>
      <w:lang w:val="ro-RO" w:eastAsia="ro-RO"/>
    </w:rPr>
  </w:style>
  <w:style w:type="paragraph" w:customStyle="1" w:styleId="CM4">
    <w:name w:val="CM4"/>
    <w:basedOn w:val="Default"/>
    <w:next w:val="Default"/>
    <w:uiPriority w:val="99"/>
    <w:rsid w:val="00F82833"/>
    <w:pPr>
      <w:widowControl/>
      <w:jc w:val="left"/>
    </w:pPr>
    <w:rPr>
      <w:rFonts w:ascii="Times New Roman" w:hAnsi="Times New Roman" w:cs="Times New Roman"/>
      <w:color w:val="auto"/>
      <w:lang w:val="ro-RO" w:eastAsia="ro-RO"/>
    </w:rPr>
  </w:style>
  <w:style w:type="paragraph" w:customStyle="1" w:styleId="al">
    <w:name w:val="a_l"/>
    <w:basedOn w:val="Normal"/>
    <w:rsid w:val="0055484B"/>
    <w:pPr>
      <w:widowControl/>
      <w:spacing w:before="100" w:beforeAutospacing="1" w:after="100" w:afterAutospacing="1"/>
      <w:jc w:val="left"/>
    </w:pPr>
    <w:rPr>
      <w:rFonts w:ascii="Times New Roman" w:eastAsia="Times New Roman" w:hAnsi="Times New Roman" w:cs="Times New Roman"/>
      <w:szCs w:val="24"/>
      <w:lang w:val="ro-RO" w:eastAsia="ro-RO"/>
    </w:rPr>
  </w:style>
  <w:style w:type="paragraph" w:styleId="TOC1">
    <w:name w:val="toc 1"/>
    <w:basedOn w:val="Normal"/>
    <w:next w:val="Normal"/>
    <w:autoRedefine/>
    <w:uiPriority w:val="39"/>
    <w:unhideWhenUsed/>
    <w:rsid w:val="00624FA1"/>
    <w:pPr>
      <w:spacing w:after="100"/>
    </w:p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D223D6"/>
    <w:pPr>
      <w:widowControl/>
      <w:spacing w:after="160" w:line="240" w:lineRule="exact"/>
      <w:jc w:val="left"/>
    </w:pPr>
    <w:rPr>
      <w:rFonts w:cs="Times New Roman"/>
      <w:szCs w:val="24"/>
      <w:vertAlign w:val="superscript"/>
      <w:lang w:eastAsia="ro-RO"/>
    </w:rPr>
  </w:style>
  <w:style w:type="table" w:customStyle="1" w:styleId="11">
    <w:name w:val="11"/>
    <w:basedOn w:val="TableNormal"/>
    <w:rsid w:val="00314D3C"/>
    <w:tblPr>
      <w:tblStyleRowBandSize w:val="1"/>
      <w:tblStyleColBandSize w:val="1"/>
      <w:tblCellMar>
        <w:top w:w="100" w:type="dxa"/>
        <w:left w:w="100" w:type="dxa"/>
        <w:bottom w:w="100" w:type="dxa"/>
        <w:right w:w="100" w:type="dxa"/>
      </w:tblCellMar>
    </w:tbl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715EBF"/>
    <w:pPr>
      <w:widowControl/>
      <w:spacing w:before="120" w:after="160" w:line="240" w:lineRule="exact"/>
      <w:jc w:val="left"/>
    </w:pPr>
    <w:rPr>
      <w:rFonts w:cs="Times New Roman"/>
      <w:szCs w:val="24"/>
      <w:vertAlign w:val="superscript"/>
      <w:lang w:val="ro-RO"/>
    </w:rPr>
  </w:style>
  <w:style w:type="character" w:customStyle="1" w:styleId="ssecden">
    <w:name w:val="s_sec_den"/>
    <w:basedOn w:val="DefaultParagraphFont"/>
    <w:rsid w:val="00807F3B"/>
  </w:style>
  <w:style w:type="character" w:customStyle="1" w:styleId="cf01">
    <w:name w:val="cf01"/>
    <w:basedOn w:val="DefaultParagraphFont"/>
    <w:rsid w:val="00807F3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15728">
      <w:bodyDiv w:val="1"/>
      <w:marLeft w:val="0"/>
      <w:marRight w:val="0"/>
      <w:marTop w:val="0"/>
      <w:marBottom w:val="0"/>
      <w:divBdr>
        <w:top w:val="none" w:sz="0" w:space="0" w:color="auto"/>
        <w:left w:val="none" w:sz="0" w:space="0" w:color="auto"/>
        <w:bottom w:val="none" w:sz="0" w:space="0" w:color="auto"/>
        <w:right w:val="none" w:sz="0" w:space="0" w:color="auto"/>
      </w:divBdr>
    </w:div>
    <w:div w:id="255333347">
      <w:bodyDiv w:val="1"/>
      <w:marLeft w:val="0"/>
      <w:marRight w:val="0"/>
      <w:marTop w:val="0"/>
      <w:marBottom w:val="0"/>
      <w:divBdr>
        <w:top w:val="none" w:sz="0" w:space="0" w:color="auto"/>
        <w:left w:val="none" w:sz="0" w:space="0" w:color="auto"/>
        <w:bottom w:val="none" w:sz="0" w:space="0" w:color="auto"/>
        <w:right w:val="none" w:sz="0" w:space="0" w:color="auto"/>
      </w:divBdr>
    </w:div>
    <w:div w:id="726680918">
      <w:bodyDiv w:val="1"/>
      <w:marLeft w:val="0"/>
      <w:marRight w:val="0"/>
      <w:marTop w:val="0"/>
      <w:marBottom w:val="0"/>
      <w:divBdr>
        <w:top w:val="none" w:sz="0" w:space="0" w:color="auto"/>
        <w:left w:val="none" w:sz="0" w:space="0" w:color="auto"/>
        <w:bottom w:val="none" w:sz="0" w:space="0" w:color="auto"/>
        <w:right w:val="none" w:sz="0" w:space="0" w:color="auto"/>
      </w:divBdr>
    </w:div>
    <w:div w:id="1172334403">
      <w:bodyDiv w:val="1"/>
      <w:marLeft w:val="0"/>
      <w:marRight w:val="0"/>
      <w:marTop w:val="0"/>
      <w:marBottom w:val="0"/>
      <w:divBdr>
        <w:top w:val="none" w:sz="0" w:space="0" w:color="auto"/>
        <w:left w:val="none" w:sz="0" w:space="0" w:color="auto"/>
        <w:bottom w:val="none" w:sz="0" w:space="0" w:color="auto"/>
        <w:right w:val="none" w:sz="0" w:space="0" w:color="auto"/>
      </w:divBdr>
    </w:div>
    <w:div w:id="1366515414">
      <w:bodyDiv w:val="1"/>
      <w:marLeft w:val="0"/>
      <w:marRight w:val="0"/>
      <w:marTop w:val="0"/>
      <w:marBottom w:val="0"/>
      <w:divBdr>
        <w:top w:val="none" w:sz="0" w:space="0" w:color="auto"/>
        <w:left w:val="none" w:sz="0" w:space="0" w:color="auto"/>
        <w:bottom w:val="none" w:sz="0" w:space="0" w:color="auto"/>
        <w:right w:val="none" w:sz="0" w:space="0" w:color="auto"/>
      </w:divBdr>
    </w:div>
    <w:div w:id="19706227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x8ZNkHAKGGCYtL6H1E8HJ9GtOqQ==">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</go:docsCustomData>
</go:gDocsCustomXmlDataStorage>
</file>

<file path=customXml/itemProps1.xml><?xml version="1.0" encoding="utf-8"?>
<ds:datastoreItem xmlns:ds="http://schemas.openxmlformats.org/officeDocument/2006/customXml" ds:itemID="{A0B433F5-C786-4D25-9B5F-0D23820B159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2846</Words>
  <Characters>16227</Characters>
  <Application>Microsoft Office Word</Application>
  <DocSecurity>4</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Morosan</dc:creator>
  <cp:keywords/>
  <dc:description/>
  <cp:lastModifiedBy>Larisa Petcu</cp:lastModifiedBy>
  <cp:revision>2</cp:revision>
  <dcterms:created xsi:type="dcterms:W3CDTF">2023-04-06T10:11:00Z</dcterms:created>
  <dcterms:modified xsi:type="dcterms:W3CDTF">2023-04-06T10:11:00Z</dcterms:modified>
</cp:coreProperties>
</file>